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DF4C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大标宋简体" w:cs="Times New Roman"/>
          <w:color w:val="auto"/>
          <w:sz w:val="44"/>
          <w:szCs w:val="44"/>
          <w:highlight w:val="none"/>
          <w:lang w:val="en-US" w:eastAsia="zh-CN"/>
        </w:rPr>
      </w:pPr>
      <w:bookmarkStart w:id="0" w:name="_GoBack"/>
      <w:r>
        <w:rPr>
          <w:rFonts w:hint="default" w:ascii="Times New Roman" w:hAnsi="Times New Roman" w:eastAsia="方正大标宋简体" w:cs="Times New Roman"/>
          <w:color w:val="auto"/>
          <w:sz w:val="44"/>
          <w:szCs w:val="44"/>
          <w:highlight w:val="none"/>
          <w:lang w:val="en-US" w:eastAsia="zh-CN"/>
        </w:rPr>
        <w:t>通化师范学院2024年度</w:t>
      </w:r>
      <w:r>
        <w:rPr>
          <w:rFonts w:hint="eastAsia" w:ascii="Times New Roman" w:hAnsi="Times New Roman" w:eastAsia="方正大标宋简体" w:cs="Times New Roman"/>
          <w:color w:val="auto"/>
          <w:sz w:val="44"/>
          <w:szCs w:val="44"/>
          <w:highlight w:val="none"/>
          <w:lang w:val="en-US" w:eastAsia="zh-CN"/>
        </w:rPr>
        <w:t>生物科学</w:t>
      </w:r>
      <w:r>
        <w:rPr>
          <w:rFonts w:hint="default" w:ascii="Times New Roman" w:hAnsi="Times New Roman" w:eastAsia="方正大标宋简体" w:cs="Times New Roman"/>
          <w:color w:val="auto"/>
          <w:sz w:val="44"/>
          <w:szCs w:val="44"/>
          <w:highlight w:val="none"/>
          <w:lang w:val="en-US" w:eastAsia="zh-CN"/>
        </w:rPr>
        <w:t>专业</w:t>
      </w:r>
    </w:p>
    <w:p w14:paraId="50FDD488">
      <w:pPr>
        <w:pageBreakBefore w:val="0"/>
        <w:widowControl w:val="0"/>
        <w:kinsoku/>
        <w:wordWrap/>
        <w:overflowPunct/>
        <w:topLinePunct w:val="0"/>
        <w:bidi w:val="0"/>
        <w:spacing w:line="576" w:lineRule="exact"/>
        <w:jc w:val="center"/>
        <w:textAlignment w:val="auto"/>
        <w:rPr>
          <w:rFonts w:hint="default" w:ascii="Times New Roman" w:hAnsi="Times New Roman" w:eastAsia="仿宋_GB2312" w:cs="Times New Roman"/>
          <w:color w:val="auto"/>
          <w:sz w:val="44"/>
          <w:szCs w:val="44"/>
          <w:highlight w:val="none"/>
          <w:lang w:val="en-US" w:eastAsia="zh-CN"/>
        </w:rPr>
      </w:pPr>
      <w:r>
        <w:rPr>
          <w:rFonts w:hint="default" w:ascii="Times New Roman" w:hAnsi="Times New Roman" w:eastAsia="方正大标宋简体" w:cs="Times New Roman"/>
          <w:color w:val="auto"/>
          <w:sz w:val="44"/>
          <w:szCs w:val="44"/>
          <w:highlight w:val="none"/>
        </w:rPr>
        <w:t>中外合作办学项目</w:t>
      </w:r>
      <w:r>
        <w:rPr>
          <w:rFonts w:hint="default" w:ascii="Times New Roman" w:hAnsi="Times New Roman" w:eastAsia="方正大标宋简体" w:cs="Times New Roman"/>
          <w:color w:val="auto"/>
          <w:sz w:val="44"/>
          <w:szCs w:val="44"/>
          <w:highlight w:val="none"/>
          <w:lang w:val="en-US" w:eastAsia="zh-CN"/>
        </w:rPr>
        <w:t>办学报告</w:t>
      </w:r>
      <w:bookmarkEnd w:id="0"/>
    </w:p>
    <w:p w14:paraId="125F0FDA">
      <w:pPr>
        <w:pageBreakBefore w:val="0"/>
        <w:widowControl w:val="0"/>
        <w:kinsoku/>
        <w:wordWrap/>
        <w:overflowPunct/>
        <w:topLinePunct w:val="0"/>
        <w:bidi w:val="0"/>
        <w:spacing w:line="576" w:lineRule="exact"/>
        <w:textAlignment w:val="auto"/>
        <w:rPr>
          <w:rFonts w:hint="default" w:ascii="Times New Roman" w:hAnsi="Times New Roman" w:eastAsia="仿宋_GB2312" w:cs="Times New Roman"/>
          <w:color w:val="auto"/>
          <w:sz w:val="32"/>
          <w:szCs w:val="32"/>
          <w:highlight w:val="none"/>
        </w:rPr>
      </w:pPr>
    </w:p>
    <w:p w14:paraId="2C100507">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根据教育部《</w:t>
      </w:r>
      <w:r>
        <w:rPr>
          <w:rFonts w:hint="default" w:ascii="Times New Roman" w:hAnsi="Times New Roman" w:eastAsia="仿宋_GB2312" w:cs="Times New Roman"/>
          <w:color w:val="auto"/>
          <w:sz w:val="32"/>
          <w:szCs w:val="32"/>
          <w:highlight w:val="none"/>
          <w:lang w:val="en-US" w:eastAsia="zh-CN"/>
        </w:rPr>
        <w:t>关于开展2024年度中外合作办学年度办学报告工作的通知</w:t>
      </w:r>
      <w:r>
        <w:rPr>
          <w:rFonts w:hint="default" w:ascii="Times New Roman" w:hAnsi="Times New Roman" w:eastAsia="仿宋_GB2312" w:cs="Times New Roman"/>
          <w:color w:val="auto"/>
          <w:sz w:val="32"/>
          <w:szCs w:val="32"/>
          <w:highlight w:val="none"/>
        </w:rPr>
        <w:t>》要求，现将</w:t>
      </w:r>
      <w:r>
        <w:rPr>
          <w:rFonts w:hint="default" w:ascii="Times New Roman" w:hAnsi="Times New Roman" w:eastAsia="仿宋_GB2312" w:cs="Times New Roman"/>
          <w:color w:val="auto"/>
          <w:sz w:val="32"/>
          <w:szCs w:val="32"/>
          <w:highlight w:val="none"/>
          <w:lang w:val="en-US" w:eastAsia="zh-CN"/>
        </w:rPr>
        <w:t>通化师范学院</w:t>
      </w:r>
      <w:r>
        <w:rPr>
          <w:rFonts w:hint="default" w:ascii="Times New Roman" w:hAnsi="Times New Roman" w:eastAsia="仿宋_GB2312" w:cs="Times New Roman"/>
          <w:color w:val="auto"/>
          <w:sz w:val="32"/>
          <w:szCs w:val="32"/>
          <w:highlight w:val="none"/>
        </w:rPr>
        <w:t>与韩国</w:t>
      </w:r>
      <w:r>
        <w:rPr>
          <w:rFonts w:hint="eastAsia" w:ascii="Times New Roman" w:hAnsi="Times New Roman" w:eastAsia="仿宋_GB2312" w:cs="Times New Roman"/>
          <w:color w:val="auto"/>
          <w:sz w:val="32"/>
          <w:szCs w:val="32"/>
          <w:highlight w:val="none"/>
          <w:lang w:val="en-US" w:eastAsia="zh-CN"/>
        </w:rPr>
        <w:t>清州</w:t>
      </w:r>
      <w:r>
        <w:rPr>
          <w:rFonts w:hint="default" w:ascii="Times New Roman" w:hAnsi="Times New Roman" w:eastAsia="仿宋_GB2312" w:cs="Times New Roman"/>
          <w:color w:val="auto"/>
          <w:sz w:val="32"/>
          <w:szCs w:val="32"/>
          <w:highlight w:val="none"/>
        </w:rPr>
        <w:t>大学</w:t>
      </w:r>
      <w:r>
        <w:rPr>
          <w:rFonts w:hint="default" w:ascii="Times New Roman" w:hAnsi="Times New Roman" w:eastAsia="仿宋_GB2312" w:cs="Times New Roman"/>
          <w:color w:val="auto"/>
          <w:sz w:val="32"/>
          <w:szCs w:val="32"/>
          <w:highlight w:val="none"/>
          <w:lang w:val="en-US" w:eastAsia="zh-CN"/>
        </w:rPr>
        <w:t>合作</w:t>
      </w:r>
      <w:r>
        <w:rPr>
          <w:rFonts w:hint="default" w:ascii="Times New Roman" w:hAnsi="Times New Roman" w:eastAsia="仿宋_GB2312" w:cs="Times New Roman"/>
          <w:color w:val="auto"/>
          <w:sz w:val="32"/>
          <w:szCs w:val="32"/>
          <w:highlight w:val="none"/>
        </w:rPr>
        <w:t>举办</w:t>
      </w:r>
      <w:r>
        <w:rPr>
          <w:rFonts w:hint="eastAsia" w:ascii="Times New Roman" w:hAnsi="Times New Roman" w:eastAsia="仿宋_GB2312" w:cs="Times New Roman"/>
          <w:color w:val="auto"/>
          <w:sz w:val="32"/>
          <w:szCs w:val="32"/>
          <w:highlight w:val="none"/>
          <w:lang w:val="en-US" w:eastAsia="zh-CN"/>
        </w:rPr>
        <w:t>生物科学</w:t>
      </w:r>
      <w:r>
        <w:rPr>
          <w:rFonts w:hint="default" w:ascii="Times New Roman" w:hAnsi="Times New Roman" w:eastAsia="仿宋_GB2312" w:cs="Times New Roman"/>
          <w:color w:val="auto"/>
          <w:sz w:val="32"/>
          <w:szCs w:val="32"/>
          <w:highlight w:val="none"/>
        </w:rPr>
        <w:t>专业</w:t>
      </w:r>
      <w:r>
        <w:rPr>
          <w:rFonts w:hint="default" w:ascii="Times New Roman" w:hAnsi="Times New Roman" w:eastAsia="仿宋_GB2312" w:cs="Times New Roman"/>
          <w:color w:val="auto"/>
          <w:sz w:val="32"/>
          <w:szCs w:val="32"/>
          <w:highlight w:val="none"/>
          <w:lang w:val="en-US" w:eastAsia="zh-CN"/>
        </w:rPr>
        <w:t>本科教育项目2024年度</w:t>
      </w:r>
      <w:r>
        <w:rPr>
          <w:rFonts w:hint="eastAsia" w:ascii="Times New Roman" w:hAnsi="Times New Roman" w:eastAsia="仿宋_GB2312" w:cs="Times New Roman"/>
          <w:color w:val="auto"/>
          <w:sz w:val="32"/>
          <w:szCs w:val="32"/>
          <w:highlight w:val="none"/>
          <w:lang w:val="en-US" w:eastAsia="zh-CN"/>
        </w:rPr>
        <w:t>办学</w:t>
      </w:r>
      <w:r>
        <w:rPr>
          <w:rFonts w:hint="default" w:ascii="Times New Roman" w:hAnsi="Times New Roman" w:eastAsia="仿宋_GB2312" w:cs="Times New Roman"/>
          <w:color w:val="auto"/>
          <w:sz w:val="32"/>
          <w:szCs w:val="32"/>
          <w:highlight w:val="none"/>
          <w:lang w:val="en-US" w:eastAsia="zh-CN"/>
        </w:rPr>
        <w:t>情况报告如下：</w:t>
      </w:r>
    </w:p>
    <w:p w14:paraId="16FFEA22">
      <w:pPr>
        <w:pStyle w:val="2"/>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一、办学基本情况</w:t>
      </w:r>
    </w:p>
    <w:p w14:paraId="41A1B64F">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（一）项目基本信息</w:t>
      </w:r>
    </w:p>
    <w:p w14:paraId="5B512860">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通化师范学院与韩国</w:t>
      </w:r>
      <w:r>
        <w:rPr>
          <w:rFonts w:hint="default" w:ascii="Times New Roman" w:hAnsi="Times New Roman" w:eastAsia="仿宋_GB2312" w:cs="Times New Roman"/>
          <w:color w:val="auto"/>
          <w:sz w:val="32"/>
          <w:szCs w:val="32"/>
          <w:highlight w:val="none"/>
          <w:lang w:val="en-US" w:eastAsia="zh-CN"/>
        </w:rPr>
        <w:t>清州</w:t>
      </w:r>
      <w:r>
        <w:rPr>
          <w:rFonts w:hint="default" w:ascii="Times New Roman" w:hAnsi="Times New Roman" w:eastAsia="仿宋_GB2312" w:cs="Times New Roman"/>
          <w:color w:val="auto"/>
          <w:sz w:val="32"/>
          <w:szCs w:val="32"/>
          <w:highlight w:val="none"/>
        </w:rPr>
        <w:t>大学合作举办</w:t>
      </w:r>
      <w:r>
        <w:rPr>
          <w:rFonts w:hint="default" w:ascii="Times New Roman" w:hAnsi="Times New Roman" w:eastAsia="仿宋_GB2312" w:cs="Times New Roman"/>
          <w:color w:val="auto"/>
          <w:sz w:val="32"/>
          <w:szCs w:val="32"/>
          <w:highlight w:val="none"/>
          <w:lang w:val="en-US" w:eastAsia="zh-CN"/>
        </w:rPr>
        <w:t>生物科学</w:t>
      </w:r>
      <w:r>
        <w:rPr>
          <w:rFonts w:hint="default" w:ascii="Times New Roman" w:hAnsi="Times New Roman" w:eastAsia="仿宋_GB2312" w:cs="Times New Roman"/>
          <w:color w:val="auto"/>
          <w:sz w:val="32"/>
          <w:szCs w:val="32"/>
          <w:highlight w:val="none"/>
        </w:rPr>
        <w:t>专业本科教育项目</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获教育部批准</w:t>
      </w:r>
      <w:r>
        <w:rPr>
          <w:rFonts w:hint="default" w:ascii="Times New Roman" w:hAnsi="Times New Roman" w:eastAsia="仿宋_GB2312" w:cs="Times New Roman"/>
          <w:color w:val="auto"/>
          <w:sz w:val="32"/>
          <w:szCs w:val="32"/>
          <w:highlight w:val="none"/>
        </w:rPr>
        <w:t>，项目批准书编号为 MOE22KR2A20171851N，专业代码为071001H，本科学历教育，学制4年</w:t>
      </w:r>
      <w:r>
        <w:rPr>
          <w:rFonts w:hint="default"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rPr>
        <w:t>办学模式</w:t>
      </w:r>
      <w:r>
        <w:rPr>
          <w:rFonts w:hint="eastAsia" w:ascii="Times New Roman" w:hAnsi="Times New Roman" w:eastAsia="仿宋_GB2312" w:cs="Times New Roman"/>
          <w:color w:val="auto"/>
          <w:sz w:val="32"/>
          <w:szCs w:val="32"/>
          <w:highlight w:val="none"/>
          <w:lang w:val="en-US" w:eastAsia="zh-CN"/>
        </w:rPr>
        <w:t>为“4+0”，</w:t>
      </w:r>
      <w:r>
        <w:rPr>
          <w:rFonts w:hint="default" w:ascii="Times New Roman" w:hAnsi="Times New Roman" w:eastAsia="仿宋_GB2312" w:cs="Times New Roman"/>
          <w:color w:val="auto"/>
          <w:sz w:val="32"/>
          <w:szCs w:val="32"/>
          <w:highlight w:val="none"/>
          <w:lang w:val="en-US" w:eastAsia="zh-CN"/>
        </w:rPr>
        <w:t>颁发中方本科毕业证及学士学位证书，每期招生人数120人，</w:t>
      </w:r>
      <w:r>
        <w:rPr>
          <w:rFonts w:hint="default" w:ascii="Times New Roman" w:hAnsi="Times New Roman" w:eastAsia="仿宋_GB2312" w:cs="Times New Roman"/>
          <w:color w:val="auto"/>
          <w:sz w:val="32"/>
          <w:szCs w:val="32"/>
          <w:highlight w:val="none"/>
        </w:rPr>
        <w:t>招生起止年份为201</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年（每年1期）</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批准书有效期至2030年12月31日</w:t>
      </w:r>
      <w:r>
        <w:rPr>
          <w:rFonts w:hint="default" w:ascii="Times New Roman" w:hAnsi="Times New Roman" w:eastAsia="仿宋_GB2312" w:cs="Times New Roman"/>
          <w:color w:val="auto"/>
          <w:sz w:val="32"/>
          <w:szCs w:val="32"/>
          <w:highlight w:val="none"/>
        </w:rPr>
        <w:t>。</w:t>
      </w:r>
    </w:p>
    <w:p w14:paraId="4FAC20A1">
      <w:pPr>
        <w:pStyle w:val="3"/>
        <w:keepNext/>
        <w:keepLines/>
        <w:pageBreakBefore w:val="0"/>
        <w:widowControl w:val="0"/>
        <w:kinsoku/>
        <w:wordWrap/>
        <w:overflowPunct/>
        <w:topLinePunct w:val="0"/>
        <w:autoSpaceDE/>
        <w:autoSpaceDN/>
        <w:bidi w:val="0"/>
        <w:adjustRightInd/>
        <w:snapToGrid/>
        <w:spacing w:before="0" w:after="0"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（二）办学定位与目标</w:t>
      </w:r>
    </w:p>
    <w:p w14:paraId="4DDBBEA5">
      <w:pPr>
        <w:pageBreakBefore w:val="0"/>
        <w:widowControl w:val="0"/>
        <w:kinsoku/>
        <w:wordWrap/>
        <w:overflowPunct/>
        <w:topLinePunct w:val="0"/>
        <w:bidi w:val="0"/>
        <w:spacing w:line="576"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1.办学定位</w:t>
      </w:r>
    </w:p>
    <w:p w14:paraId="197F44E7">
      <w:pPr>
        <w:pageBreakBefore w:val="0"/>
        <w:widowControl w:val="0"/>
        <w:numPr>
          <w:ilvl w:val="0"/>
          <w:numId w:val="0"/>
        </w:numPr>
        <w:kinsoku/>
        <w:wordWrap/>
        <w:overflowPunct/>
        <w:topLinePunct w:val="0"/>
        <w:bidi w:val="0"/>
        <w:spacing w:line="576" w:lineRule="exact"/>
        <w:ind w:left="0" w:leftChars="0" w:firstLine="640" w:firstLineChars="200"/>
        <w:textAlignment w:val="auto"/>
        <w:rPr>
          <w:color w:val="auto"/>
        </w:rPr>
      </w:pPr>
      <w:r>
        <w:rPr>
          <w:rFonts w:hint="default" w:ascii="Times New Roman" w:hAnsi="Times New Roman" w:eastAsia="仿宋_GB2312" w:cs="Times New Roman"/>
          <w:color w:val="auto"/>
          <w:kern w:val="2"/>
          <w:sz w:val="32"/>
          <w:szCs w:val="32"/>
          <w:highlight w:val="none"/>
          <w:lang w:val="en-US" w:eastAsia="zh-CN" w:bidi="ar-SA"/>
        </w:rPr>
        <w:t>项目紧紧围绕学校发展规划，坚持社会主义办学方向，全面贯彻党的教育方针，坚持立德树人导向，全面提高人才培养质量，为建成具有一定国际化水平、国内知名、省内一流的特色高水平应用型大学奠定坚实基础。积极建设具有区域特色优势、为地方经济发展服务的一流本科专业，培养具备扎实生物科学基本理论和基本实验技能，具有适应地方经济和社会发展需要、德智体美劳全面发展、宽阔的国际视野和较强的创新精神，能够从事在生物学相关领域内工作的应用型</w:t>
      </w:r>
      <w:r>
        <w:rPr>
          <w:rFonts w:hint="eastAsia" w:ascii="Times New Roman" w:hAnsi="Times New Roman" w:eastAsia="仿宋_GB2312" w:cs="Times New Roman"/>
          <w:color w:val="auto"/>
          <w:kern w:val="2"/>
          <w:sz w:val="32"/>
          <w:szCs w:val="32"/>
          <w:highlight w:val="none"/>
          <w:lang w:val="en-US" w:eastAsia="zh-CN" w:bidi="ar-SA"/>
        </w:rPr>
        <w:t>高级专门</w:t>
      </w:r>
      <w:r>
        <w:rPr>
          <w:rFonts w:hint="default" w:ascii="Times New Roman" w:hAnsi="Times New Roman" w:eastAsia="仿宋_GB2312" w:cs="Times New Roman"/>
          <w:color w:val="auto"/>
          <w:kern w:val="2"/>
          <w:sz w:val="32"/>
          <w:szCs w:val="32"/>
          <w:highlight w:val="none"/>
          <w:lang w:val="en-US" w:eastAsia="zh-CN" w:bidi="ar-SA"/>
        </w:rPr>
        <w:t>人才。</w:t>
      </w:r>
    </w:p>
    <w:p w14:paraId="5FBDB52D">
      <w:pPr>
        <w:pageBreakBefore w:val="0"/>
        <w:widowControl w:val="0"/>
        <w:kinsoku/>
        <w:wordWrap/>
        <w:overflowPunct/>
        <w:topLinePunct w:val="0"/>
        <w:bidi w:val="0"/>
        <w:spacing w:line="576"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rPr>
        <w:t>办学目标</w:t>
      </w:r>
    </w:p>
    <w:p w14:paraId="4F24F97C">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项目坚持</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厚基础、强实践、重能力、优特色</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的人才培养模式，坚持专业内涵建设和实践技能培养相结合。培养学生具有强烈的社会责任感和使命感，良好的职业道德情操和人文素养，有意愿有能力服务社会、报效国家。培养学生熟练掌握生物学基本理论和基本技能，具有国际化视野，富有创新精神、创业意识和创新创业能力。培养学生具有终身学习与专业发展意识和一定的反思能力，能够通过多种渠道完善自我知识体系，提高专业能力。</w:t>
      </w:r>
    </w:p>
    <w:p w14:paraId="28936077">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（三）中外方参与培养方案制定与更新情况</w:t>
      </w:r>
    </w:p>
    <w:p w14:paraId="34792FA0">
      <w:pPr>
        <w:pageBreakBefore w:val="0"/>
        <w:widowControl w:val="0"/>
        <w:kinsoku/>
        <w:wordWrap/>
        <w:overflowPunct/>
        <w:topLinePunct w:val="0"/>
        <w:bidi w:val="0"/>
        <w:spacing w:line="576"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中韩双方每两年对培养方案及配套教学计划进行全面研讨与更新。2024 年</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 2022 版培养方案开展系统化优化工作：一是完善体系结构，明确实践学时占比要求；二是更新《微生物学》《分子生物学》等核心课程内容，增加前沿技术介绍与应用案例；三是优化实践教学环节，增设校企合作实习、科研创新训练等模块；四是科学调整课程设置，推动通识课程内容与时俱进，微调专业核心课程学分，强化</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第二课堂</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与创新创业模块建设；五是在保持 85.71% 核心学位课程引进比例的基础上，优化整体课程引进与韩方授课比例，实现国际化与本土化的深度融合。</w:t>
      </w:r>
    </w:p>
    <w:p w14:paraId="404B8732">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（四）本年度招生和毕业生情况</w:t>
      </w:r>
    </w:p>
    <w:p w14:paraId="030EAB59">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招生情况：2024年项目计划招生120人，招生录取120人，实际报到11</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人，招生范围覆盖吉林、</w:t>
      </w:r>
      <w:r>
        <w:rPr>
          <w:rFonts w:hint="eastAsia" w:ascii="Times New Roman" w:hAnsi="Times New Roman" w:eastAsia="仿宋_GB2312" w:cs="Times New Roman"/>
          <w:color w:val="auto"/>
          <w:sz w:val="32"/>
          <w:szCs w:val="32"/>
          <w:highlight w:val="none"/>
          <w:lang w:val="en-US" w:eastAsia="zh-CN"/>
        </w:rPr>
        <w:t>浙江</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内蒙古</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个生源省份。</w:t>
      </w:r>
    </w:p>
    <w:p w14:paraId="566E3BDE">
      <w:pPr>
        <w:pageBreakBefore w:val="0"/>
        <w:widowControl w:val="0"/>
        <w:kinsoku/>
        <w:wordWrap/>
        <w:overflowPunct/>
        <w:topLinePunct w:val="0"/>
        <w:bidi w:val="0"/>
        <w:spacing w:line="576"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毕业生情况：2024届（2020级）学生共计</w:t>
      </w:r>
      <w:r>
        <w:rPr>
          <w:rFonts w:hint="eastAsia" w:ascii="Times New Roman" w:hAnsi="Times New Roman" w:eastAsia="仿宋_GB2312" w:cs="Times New Roman"/>
          <w:color w:val="auto"/>
          <w:sz w:val="32"/>
          <w:szCs w:val="32"/>
          <w:highlight w:val="none"/>
          <w:lang w:val="en-US" w:eastAsia="zh-CN"/>
        </w:rPr>
        <w:t>65</w:t>
      </w:r>
      <w:r>
        <w:rPr>
          <w:rFonts w:hint="default"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val="en-US" w:eastAsia="zh-CN"/>
        </w:rPr>
        <w:t>65</w:t>
      </w:r>
      <w:r>
        <w:rPr>
          <w:rFonts w:hint="default"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rPr>
        <w:t>按期顺利毕业，并获得通化师范学院颁发的毕业证书与学士学位证书，毕业率与学位授予率达</w:t>
      </w:r>
      <w:r>
        <w:rPr>
          <w:rFonts w:hint="eastAsia"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p>
    <w:p w14:paraId="198C5C46">
      <w:pPr>
        <w:pageBreakBefore w:val="0"/>
        <w:widowControl w:val="0"/>
        <w:numPr>
          <w:ilvl w:val="0"/>
          <w:numId w:val="0"/>
        </w:numPr>
        <w:kinsoku/>
        <w:wordWrap/>
        <w:overflowPunct/>
        <w:topLinePunct w:val="0"/>
        <w:bidi w:val="0"/>
        <w:spacing w:line="576" w:lineRule="exact"/>
        <w:ind w:left="0" w:leftChars="0"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3.就业去向情况：升学就业学生总数57人（就业率87.69%），</w:t>
      </w:r>
      <w:r>
        <w:rPr>
          <w:rFonts w:hint="default" w:ascii="Times New Roman" w:hAnsi="Times New Roman" w:eastAsia="仿宋_GB2312" w:cs="Times New Roman"/>
          <w:color w:val="auto"/>
          <w:sz w:val="32"/>
          <w:szCs w:val="32"/>
          <w:highlight w:val="none"/>
        </w:rPr>
        <w:t>其中，境内升学</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境外升学</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人</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bidi="ar-SA"/>
        </w:rPr>
        <w:t>协议就业与合同就业</w:t>
      </w:r>
      <w:r>
        <w:rPr>
          <w:rFonts w:hint="eastAsia" w:ascii="Times New Roman" w:hAnsi="Times New Roman" w:eastAsia="仿宋_GB2312" w:cs="Times New Roman"/>
          <w:color w:val="auto"/>
          <w:sz w:val="32"/>
          <w:szCs w:val="32"/>
          <w:highlight w:val="none"/>
          <w:lang w:val="en-US" w:eastAsia="zh-CN"/>
        </w:rPr>
        <w:t>45人，自主就业7人，未就业8人</w:t>
      </w:r>
      <w:r>
        <w:rPr>
          <w:rFonts w:hint="default" w:ascii="Times New Roman" w:hAnsi="Times New Roman" w:eastAsia="仿宋_GB2312" w:cs="Times New Roman"/>
          <w:color w:val="auto"/>
          <w:sz w:val="32"/>
          <w:szCs w:val="32"/>
          <w:highlight w:val="none"/>
        </w:rPr>
        <w:t>。</w:t>
      </w:r>
    </w:p>
    <w:p w14:paraId="0E2ADC7F">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（五）学生规模和师资队伍情况</w:t>
      </w:r>
    </w:p>
    <w:p w14:paraId="323AA9AE">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学生规模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截至 2024 年12月，在校生共计</w:t>
      </w:r>
      <w:r>
        <w:rPr>
          <w:rFonts w:hint="default" w:ascii="Times New Roman" w:hAnsi="Times New Roman" w:eastAsia="仿宋_GB2312" w:cs="Times New Roman"/>
          <w:color w:val="auto"/>
          <w:sz w:val="32"/>
          <w:szCs w:val="32"/>
          <w:highlight w:val="none"/>
          <w:lang w:val="en-US" w:eastAsia="zh-CN"/>
        </w:rPr>
        <w:t>410</w:t>
      </w:r>
      <w:r>
        <w:rPr>
          <w:rFonts w:hint="eastAsia"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其中</w:t>
      </w:r>
      <w:r>
        <w:rPr>
          <w:rFonts w:hint="default" w:ascii="Times New Roman" w:hAnsi="Times New Roman" w:eastAsia="仿宋_GB2312" w:cs="Times New Roman"/>
          <w:color w:val="auto"/>
          <w:sz w:val="32"/>
          <w:szCs w:val="32"/>
          <w:highlight w:val="none"/>
        </w:rPr>
        <w:t>：2021级69</w:t>
      </w:r>
      <w:r>
        <w:rPr>
          <w:rFonts w:hint="eastAsia"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2022级11</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2023级11</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2024</w:t>
      </w:r>
      <w:r>
        <w:rPr>
          <w:rFonts w:hint="eastAsia" w:ascii="Times New Roman" w:hAnsi="Times New Roman" w:eastAsia="仿宋_GB2312" w:cs="Times New Roman"/>
          <w:color w:val="auto"/>
          <w:sz w:val="32"/>
          <w:szCs w:val="32"/>
          <w:highlight w:val="none"/>
          <w:lang w:val="en-US" w:eastAsia="zh-CN"/>
        </w:rPr>
        <w:t>级</w:t>
      </w:r>
      <w:r>
        <w:rPr>
          <w:rFonts w:hint="default" w:ascii="Times New Roman" w:hAnsi="Times New Roman" w:eastAsia="仿宋_GB2312" w:cs="Times New Roman"/>
          <w:color w:val="auto"/>
          <w:sz w:val="32"/>
          <w:szCs w:val="32"/>
          <w:highlight w:val="none"/>
          <w:lang w:val="en-US" w:eastAsia="zh-CN"/>
        </w:rPr>
        <w:t>114</w:t>
      </w:r>
      <w:r>
        <w:rPr>
          <w:rFonts w:hint="eastAsia" w:ascii="Times New Roman" w:hAnsi="Times New Roman" w:eastAsia="仿宋_GB2312" w:cs="Times New Roman"/>
          <w:color w:val="auto"/>
          <w:sz w:val="32"/>
          <w:szCs w:val="32"/>
          <w:highlight w:val="none"/>
          <w:lang w:val="en-US" w:eastAsia="zh-CN"/>
        </w:rPr>
        <w:t>人</w:t>
      </w:r>
      <w:r>
        <w:rPr>
          <w:rFonts w:hint="default" w:ascii="Times New Roman" w:hAnsi="Times New Roman" w:eastAsia="仿宋_GB2312" w:cs="Times New Roman"/>
          <w:color w:val="auto"/>
          <w:sz w:val="32"/>
          <w:szCs w:val="32"/>
          <w:highlight w:val="none"/>
        </w:rPr>
        <w:t>。</w:t>
      </w:r>
    </w:p>
    <w:p w14:paraId="0DC36241">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2.师资队伍：中方生命科学学院，现有专任教师</w:t>
      </w:r>
      <w:r>
        <w:rPr>
          <w:rFonts w:hint="eastAsia"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师资职称结构为：正高级</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val="en-US" w:eastAsia="zh-CN"/>
        </w:rPr>
        <w:t>人，副高级</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人，中级</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人；学历结构为：博士</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人（占比64%），硕士</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长期从事生物科学教学科研工作，有一定学术影响力</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韩方任课教师2人，</w:t>
      </w:r>
      <w:r>
        <w:rPr>
          <w:rFonts w:hint="eastAsia" w:ascii="Times New Roman" w:hAnsi="Times New Roman" w:eastAsia="仿宋_GB2312" w:cs="Times New Roman"/>
          <w:color w:val="auto"/>
          <w:sz w:val="32"/>
          <w:szCs w:val="32"/>
          <w:highlight w:val="none"/>
          <w:lang w:val="en-US" w:eastAsia="zh-CN"/>
        </w:rPr>
        <w:t>均</w:t>
      </w:r>
      <w:r>
        <w:rPr>
          <w:rFonts w:hint="default" w:ascii="Times New Roman" w:hAnsi="Times New Roman" w:eastAsia="仿宋_GB2312" w:cs="Times New Roman"/>
          <w:color w:val="auto"/>
          <w:sz w:val="32"/>
          <w:szCs w:val="32"/>
          <w:highlight w:val="none"/>
          <w:lang w:val="en-US" w:eastAsia="zh-CN"/>
        </w:rPr>
        <w:t>拥有博士学位</w:t>
      </w:r>
      <w:r>
        <w:rPr>
          <w:rFonts w:hint="eastAsia" w:ascii="Times New Roman" w:hAnsi="Times New Roman" w:eastAsia="仿宋_GB2312" w:cs="Times New Roman"/>
          <w:color w:val="auto"/>
          <w:sz w:val="32"/>
          <w:szCs w:val="32"/>
          <w:highlight w:val="none"/>
          <w:lang w:val="en-US" w:eastAsia="zh-CN"/>
        </w:rPr>
        <w:t>。双方教师均具有</w:t>
      </w:r>
      <w:r>
        <w:rPr>
          <w:rFonts w:hint="default" w:ascii="Times New Roman" w:hAnsi="Times New Roman" w:eastAsia="仿宋_GB2312" w:cs="Times New Roman"/>
          <w:color w:val="auto"/>
          <w:sz w:val="32"/>
          <w:szCs w:val="32"/>
          <w:highlight w:val="none"/>
          <w:lang w:val="en-US" w:eastAsia="zh-CN"/>
        </w:rPr>
        <w:t>多年教学经验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具备承担项目教学与科研任务能力</w:t>
      </w:r>
      <w:r>
        <w:rPr>
          <w:rFonts w:hint="eastAsia" w:ascii="Times New Roman" w:hAnsi="Times New Roman" w:eastAsia="仿宋_GB2312" w:cs="Times New Roman"/>
          <w:color w:val="auto"/>
          <w:sz w:val="32"/>
          <w:szCs w:val="32"/>
          <w:highlight w:val="none"/>
          <w:lang w:val="en-US" w:eastAsia="zh-CN"/>
        </w:rPr>
        <w:t>。</w:t>
      </w:r>
    </w:p>
    <w:p w14:paraId="5C422C58">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（六）延期变更和参加评估情况</w:t>
      </w:r>
    </w:p>
    <w:p w14:paraId="05BBA072">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项目变更情况：项目于2023年5月</w:t>
      </w:r>
      <w:r>
        <w:rPr>
          <w:rFonts w:hint="default" w:ascii="Times New Roman" w:hAnsi="Times New Roman" w:eastAsia="仿宋_GB2312" w:cs="Times New Roman"/>
          <w:color w:val="auto"/>
          <w:sz w:val="32"/>
          <w:szCs w:val="32"/>
          <w:highlight w:val="none"/>
          <w:lang w:val="en-US" w:eastAsia="zh-CN"/>
        </w:rPr>
        <w:t>变更</w:t>
      </w:r>
      <w:r>
        <w:rPr>
          <w:rFonts w:hint="default" w:ascii="Times New Roman" w:hAnsi="Times New Roman" w:eastAsia="仿宋_GB2312" w:cs="Times New Roman"/>
          <w:color w:val="auto"/>
          <w:sz w:val="32"/>
          <w:szCs w:val="32"/>
          <w:highlight w:val="none"/>
        </w:rPr>
        <w:t>招生起止年份为2018年</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2026年（每年1期）；</w:t>
      </w:r>
      <w:r>
        <w:rPr>
          <w:rFonts w:hint="default" w:ascii="Times New Roman" w:hAnsi="Times New Roman" w:eastAsia="仿宋_GB2312" w:cs="Times New Roman"/>
          <w:color w:val="auto"/>
          <w:sz w:val="32"/>
          <w:szCs w:val="32"/>
          <w:highlight w:val="none"/>
          <w:lang w:val="en-US" w:eastAsia="zh-CN"/>
        </w:rPr>
        <w:t>变更</w:t>
      </w:r>
      <w:r>
        <w:rPr>
          <w:rFonts w:hint="default" w:ascii="Times New Roman" w:hAnsi="Times New Roman" w:eastAsia="仿宋_GB2312" w:cs="Times New Roman"/>
          <w:color w:val="auto"/>
          <w:sz w:val="32"/>
          <w:szCs w:val="32"/>
          <w:highlight w:val="none"/>
        </w:rPr>
        <w:t>批准书有效期</w:t>
      </w:r>
      <w:r>
        <w:rPr>
          <w:rFonts w:hint="default"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rPr>
        <w:t xml:space="preserve">2030年12月31日。  </w:t>
      </w:r>
    </w:p>
    <w:p w14:paraId="6BB56EB1">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项目评估情况：项目于2022年参加教育部中外合作办学项目评估，并顺利通过。</w:t>
      </w:r>
    </w:p>
    <w:p w14:paraId="33ABE070">
      <w:pPr>
        <w:pStyle w:val="2"/>
        <w:pageBreakBefore w:val="0"/>
        <w:widowControl w:val="0"/>
        <w:kinsoku/>
        <w:wordWrap/>
        <w:overflowPunct/>
        <w:topLinePunct w:val="0"/>
        <w:bidi w:val="0"/>
        <w:spacing w:before="0" w:after="0" w:line="576" w:lineRule="exact"/>
        <w:ind w:firstLine="640" w:firstLineChars="200"/>
        <w:textAlignment w:val="auto"/>
        <w:rPr>
          <w:rFonts w:hint="default" w:ascii="黑体" w:hAnsi="黑体" w:eastAsia="黑体" w:cs="黑体"/>
          <w:b w:val="0"/>
          <w:bCs w:val="0"/>
          <w:color w:val="auto"/>
          <w:sz w:val="32"/>
          <w:szCs w:val="32"/>
          <w:highlight w:val="none"/>
        </w:rPr>
      </w:pPr>
      <w:r>
        <w:rPr>
          <w:rFonts w:hint="default" w:ascii="黑体" w:hAnsi="黑体" w:eastAsia="黑体" w:cs="黑体"/>
          <w:b w:val="0"/>
          <w:bCs w:val="0"/>
          <w:color w:val="auto"/>
          <w:sz w:val="32"/>
          <w:szCs w:val="32"/>
          <w:highlight w:val="none"/>
        </w:rPr>
        <w:t>二、教育教学工作情况</w:t>
      </w:r>
    </w:p>
    <w:p w14:paraId="0364A77A">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（一）课程设置</w:t>
      </w:r>
    </w:p>
    <w:p w14:paraId="03052B27">
      <w:pPr>
        <w:pageBreakBefore w:val="0"/>
        <w:widowControl w:val="0"/>
        <w:kinsoku/>
        <w:wordWrap/>
        <w:overflowPunct/>
        <w:topLinePunct w:val="0"/>
        <w:bidi w:val="0"/>
        <w:spacing w:line="576"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四个</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三分之一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执行情况：</w:t>
      </w:r>
      <w:r>
        <w:rPr>
          <w:rFonts w:hint="eastAsia" w:ascii="Times New Roman" w:hAnsi="Times New Roman" w:eastAsia="仿宋_GB2312" w:cs="Times New Roman"/>
          <w:color w:val="auto"/>
          <w:sz w:val="32"/>
          <w:szCs w:val="32"/>
          <w:highlight w:val="none"/>
          <w:lang w:val="en-US" w:eastAsia="zh-CN"/>
        </w:rPr>
        <w:t>2024年度，项目严格按照培养方案，总计开设课程36门</w:t>
      </w:r>
      <w:r>
        <w:rPr>
          <w:rFonts w:hint="default" w:ascii="Times New Roman" w:hAnsi="Times New Roman" w:eastAsia="仿宋_GB2312" w:cs="Times New Roman"/>
          <w:color w:val="auto"/>
          <w:sz w:val="32"/>
          <w:szCs w:val="32"/>
          <w:highlight w:val="none"/>
          <w:lang w:eastAsia="zh-CN"/>
        </w:rPr>
        <w:t>，其中中方24门，韩方12门，</w:t>
      </w:r>
      <w:r>
        <w:rPr>
          <w:rFonts w:hint="eastAsia" w:ascii="Times New Roman" w:hAnsi="Times New Roman" w:eastAsia="仿宋_GB2312" w:cs="Times New Roman"/>
          <w:color w:val="auto"/>
          <w:sz w:val="32"/>
          <w:szCs w:val="32"/>
          <w:highlight w:val="none"/>
          <w:lang w:val="en-US" w:eastAsia="zh-CN"/>
        </w:rPr>
        <w:t>占比</w:t>
      </w:r>
      <w:r>
        <w:rPr>
          <w:rFonts w:hint="default" w:ascii="Times New Roman" w:hAnsi="Times New Roman" w:eastAsia="仿宋_GB2312" w:cs="Times New Roman"/>
          <w:color w:val="auto"/>
          <w:sz w:val="32"/>
          <w:szCs w:val="32"/>
          <w:highlight w:val="none"/>
          <w:lang w:eastAsia="zh-CN"/>
        </w:rPr>
        <w:t>33.33%</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项目引进韩方专业核心课程12门，占项目全部14门专业核心课程的85.71%；韩方教授实际承担讲授课程12门，占项目全部36门课程的33.33%；韩方教师承担专业核心课程教学时数为704，占总学时数2072的33.97%。</w:t>
      </w:r>
    </w:p>
    <w:p w14:paraId="3F999EF1">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课程建设成效</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注重课程建设质量和实效，通过整合中韩双方课程资源、创新教学方法、加强课程思政建设等</w:t>
      </w:r>
      <w:r>
        <w:rPr>
          <w:rFonts w:hint="eastAsia" w:ascii="Times New Roman" w:hAnsi="Times New Roman" w:eastAsia="仿宋_GB2312" w:cs="Times New Roman"/>
          <w:color w:val="auto"/>
          <w:sz w:val="32"/>
          <w:szCs w:val="32"/>
          <w:highlight w:val="none"/>
          <w:lang w:val="en-US" w:eastAsia="zh-CN"/>
        </w:rPr>
        <w:t>举措，</w:t>
      </w:r>
      <w:r>
        <w:rPr>
          <w:rFonts w:hint="default" w:ascii="Times New Roman" w:hAnsi="Times New Roman" w:eastAsia="仿宋_GB2312" w:cs="Times New Roman"/>
          <w:color w:val="auto"/>
          <w:sz w:val="32"/>
          <w:szCs w:val="32"/>
          <w:highlight w:val="none"/>
        </w:rPr>
        <w:t>提升课程建设水平。采用线下授课模式，同步安排中方教师助课，助力学生理解专业知识；整合双方课程资源，以韩方实际实验案例为依托，帮助学生夯实基础知识，强化知识应用能力，贴合学生接受习惯。</w:t>
      </w:r>
    </w:p>
    <w:p w14:paraId="325DF429">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（二）师资配备</w:t>
      </w:r>
    </w:p>
    <w:p w14:paraId="680A05D5">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中外方教师整体水平：中外方教师队伍整体水平较高，具备扎实专业知识、丰富教学经验和良好职业素养，满足国际化人才培养需求。</w:t>
      </w:r>
    </w:p>
    <w:p w14:paraId="0D27F30E">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2.中外师资情况：2024 年参与项目教学教师共计74人（韩方2人），中方教师72人中，正高级职称9人、副高级职称22人、中级职称27人，博士25人、硕士45人。中方生命科学学院专业任课教师 25 人，均为硕士以上学历，其中教授5人、副教授7人，博士15人（占比64%）。韩方任课教师2名，均拥有博士学位，在微生物学等领域造诣深厚，跨文化交流能力强。</w:t>
      </w:r>
    </w:p>
    <w:p w14:paraId="6937EDB7">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师资队伍建设保障：采用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五结合</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培养方式（线上学习与线下培训、校内培训与校外研修、集体研讨与自主学习、集中培训与个体指导、理论学习与实践锤炼相结合），对教师分类培训、分层培养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依托微信公众号、在线培训课程等平台开展教师培训；组织任课教师年均参与校内教学培训 100余场；鼓励外出进修，年均国内进修7人次，通过研讨教学方法、交流体会持续提升教学质量。</w:t>
      </w:r>
      <w:r>
        <w:rPr>
          <w:rFonts w:hint="eastAsia" w:ascii="Times New Roman" w:hAnsi="Times New Roman" w:eastAsia="仿宋_GB2312" w:cs="Times New Roman"/>
          <w:color w:val="auto"/>
          <w:sz w:val="32"/>
          <w:szCs w:val="32"/>
          <w:highlight w:val="none"/>
          <w:lang w:val="en-US" w:eastAsia="zh-CN"/>
        </w:rPr>
        <w:t>2024年，学院教师参加各类校内外培训人均达200学时，满足学校教师发展要求，学院3名教师参加教师教学创新比赛获三等奖3项。</w:t>
      </w:r>
    </w:p>
    <w:p w14:paraId="14520979">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（三）教学质量</w:t>
      </w:r>
    </w:p>
    <w:p w14:paraId="62AC8C99">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学业成绩方面</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2024年，</w:t>
      </w:r>
      <w:r>
        <w:rPr>
          <w:rFonts w:hint="default" w:ascii="Times New Roman" w:hAnsi="Times New Roman" w:eastAsia="仿宋_GB2312" w:cs="Times New Roman"/>
          <w:color w:val="auto"/>
          <w:sz w:val="32"/>
          <w:szCs w:val="32"/>
          <w:highlight w:val="none"/>
          <w:lang w:val="en-US" w:eastAsia="zh-CN"/>
        </w:rPr>
        <w:t>项目学生</w:t>
      </w:r>
      <w:r>
        <w:rPr>
          <w:rFonts w:hint="default" w:ascii="Times New Roman" w:hAnsi="Times New Roman" w:eastAsia="仿宋_GB2312" w:cs="Times New Roman"/>
          <w:color w:val="auto"/>
          <w:sz w:val="32"/>
          <w:szCs w:val="32"/>
          <w:highlight w:val="none"/>
        </w:rPr>
        <w:t>获国家奖学金 1 人、国家励志奖学金 12 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吉林省政府奖学金2人；</w:t>
      </w:r>
      <w:r>
        <w:rPr>
          <w:rFonts w:hint="default" w:ascii="Times New Roman" w:hAnsi="Times New Roman" w:eastAsia="仿宋_GB2312" w:cs="Times New Roman"/>
          <w:color w:val="auto"/>
          <w:sz w:val="32"/>
          <w:szCs w:val="32"/>
          <w:highlight w:val="none"/>
          <w:lang w:val="en-US" w:eastAsia="zh-CN"/>
        </w:rPr>
        <w:t>获学院</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三好学生</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优秀学生干部</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55 人次；</w:t>
      </w:r>
      <w:r>
        <w:rPr>
          <w:rFonts w:hint="default" w:ascii="Times New Roman" w:hAnsi="Times New Roman" w:eastAsia="仿宋_GB2312" w:cs="Times New Roman"/>
          <w:color w:val="auto"/>
          <w:sz w:val="32"/>
          <w:szCs w:val="32"/>
          <w:highlight w:val="none"/>
          <w:lang w:val="en-US" w:eastAsia="zh-CN"/>
        </w:rPr>
        <w:t>项目学生在本</w:t>
      </w:r>
      <w:r>
        <w:rPr>
          <w:rFonts w:hint="default" w:ascii="Times New Roman" w:hAnsi="Times New Roman" w:eastAsia="仿宋_GB2312" w:cs="Times New Roman"/>
          <w:color w:val="auto"/>
          <w:sz w:val="32"/>
          <w:szCs w:val="32"/>
          <w:highlight w:val="none"/>
        </w:rPr>
        <w:t>学院一等奖学金占比 33%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优秀学生干部占比 40%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三好学生占比 40%。</w:t>
      </w:r>
    </w:p>
    <w:p w14:paraId="21DFE874">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学科竞赛和创新创业方面</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学生积极参与各类赛事。2024年度，参赛30余人次，获生命科学竞赛省赛三等奖、</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挑战杯</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省赛三等奖等；参与大学生创新创业训练计划项目 20 余项（国家级3项、省级5项），创新能力和实践能力显著提升。</w:t>
      </w:r>
    </w:p>
    <w:p w14:paraId="3A661AAC">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教学评价方面，通过学生评教、教师互评、督导评教等多种方式开展教学质量评价。学生对中外方教师授课满意度均在90分以上，</w:t>
      </w:r>
      <w:r>
        <w:rPr>
          <w:rFonts w:hint="eastAsia" w:ascii="Times New Roman" w:hAnsi="Times New Roman" w:eastAsia="仿宋_GB2312" w:cs="Times New Roman"/>
          <w:color w:val="auto"/>
          <w:sz w:val="32"/>
          <w:szCs w:val="32"/>
          <w:highlight w:val="none"/>
          <w:lang w:val="en-US" w:eastAsia="zh-CN"/>
        </w:rPr>
        <w:t>认为</w:t>
      </w:r>
      <w:r>
        <w:rPr>
          <w:rFonts w:hint="default" w:ascii="Times New Roman" w:hAnsi="Times New Roman" w:eastAsia="仿宋_GB2312" w:cs="Times New Roman"/>
          <w:color w:val="auto"/>
          <w:sz w:val="32"/>
          <w:szCs w:val="32"/>
          <w:highlight w:val="none"/>
        </w:rPr>
        <w:t>教师教学态度认真、方法灵活、内容丰富；督导专家评价教学组织有序、方法得当、效果显著；中外方教师互评促进教学质量共同提升。</w:t>
      </w:r>
    </w:p>
    <w:p w14:paraId="1402A8BE">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质量保障监督体系</w:t>
      </w:r>
      <w:r>
        <w:rPr>
          <w:rFonts w:hint="default" w:ascii="Times New Roman" w:hAnsi="Times New Roman" w:eastAsia="仿宋_GB2312" w:cs="Times New Roman"/>
          <w:color w:val="auto"/>
          <w:sz w:val="32"/>
          <w:szCs w:val="32"/>
          <w:highlight w:val="none"/>
          <w:lang w:val="en-US" w:eastAsia="zh-CN"/>
        </w:rPr>
        <w:t>方面</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为确保教学质量稳定提升，构建全程化、多层次、多维度教学质量保障监督体系，形成</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事前预防、事中监控、事后整改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闭环管理机制。</w:t>
      </w:r>
      <w:r>
        <w:rPr>
          <w:rFonts w:hint="eastAsia" w:ascii="Times New Roman" w:hAnsi="Times New Roman" w:eastAsia="仿宋_GB2312" w:cs="Times New Roman"/>
          <w:color w:val="auto"/>
          <w:sz w:val="32"/>
          <w:szCs w:val="32"/>
          <w:highlight w:val="none"/>
          <w:lang w:val="en-US" w:eastAsia="zh-CN"/>
        </w:rPr>
        <w:t>2024年6月开展“教学质量月”活动，对教师授课情况采取线下观课和线上回放双重模式审查教学效果，强化教师的教学质量提升意识。</w:t>
      </w:r>
    </w:p>
    <w:p w14:paraId="7BFD8849">
      <w:pPr>
        <w:pStyle w:val="2"/>
        <w:pageBreakBefore w:val="0"/>
        <w:widowControl w:val="0"/>
        <w:kinsoku/>
        <w:wordWrap/>
        <w:overflowPunct/>
        <w:topLinePunct w:val="0"/>
        <w:bidi w:val="0"/>
        <w:spacing w:before="0" w:after="0" w:line="576" w:lineRule="exact"/>
        <w:ind w:firstLine="640" w:firstLineChars="200"/>
        <w:textAlignment w:val="auto"/>
        <w:rPr>
          <w:rFonts w:hint="default"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三</w:t>
      </w:r>
      <w:r>
        <w:rPr>
          <w:rFonts w:hint="default" w:ascii="黑体" w:hAnsi="黑体" w:eastAsia="黑体" w:cs="黑体"/>
          <w:b w:val="0"/>
          <w:bCs w:val="0"/>
          <w:color w:val="auto"/>
          <w:sz w:val="32"/>
          <w:szCs w:val="32"/>
          <w:highlight w:val="none"/>
        </w:rPr>
        <w:t>、人才培养成效情况</w:t>
      </w:r>
    </w:p>
    <w:p w14:paraId="2CEF4677">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（一）培养目标达成情况</w:t>
      </w:r>
    </w:p>
    <w:p w14:paraId="6072CCDC">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思想道德方面，学生具有坚定</w:t>
      </w:r>
      <w:r>
        <w:rPr>
          <w:rFonts w:hint="eastAsia" w:ascii="Times New Roman" w:hAnsi="Times New Roman" w:eastAsia="仿宋_GB2312" w:cs="Times New Roman"/>
          <w:color w:val="auto"/>
          <w:sz w:val="32"/>
          <w:szCs w:val="32"/>
          <w:highlight w:val="none"/>
          <w:lang w:val="en-US" w:eastAsia="zh-CN"/>
        </w:rPr>
        <w:t>理想信念、浓厚爱国主义精神</w:t>
      </w:r>
      <w:r>
        <w:rPr>
          <w:rFonts w:hint="default" w:ascii="Times New Roman" w:hAnsi="Times New Roman" w:eastAsia="仿宋_GB2312" w:cs="Times New Roman"/>
          <w:color w:val="auto"/>
          <w:sz w:val="32"/>
          <w:szCs w:val="32"/>
          <w:highlight w:val="none"/>
        </w:rPr>
        <w:t>和良好道德品质。2024年度，</w:t>
      </w:r>
      <w:r>
        <w:rPr>
          <w:rFonts w:hint="eastAsia" w:ascii="Times New Roman" w:hAnsi="Times New Roman" w:eastAsia="仿宋_GB2312" w:cs="Times New Roman"/>
          <w:color w:val="auto"/>
          <w:sz w:val="32"/>
          <w:szCs w:val="32"/>
          <w:highlight w:val="none"/>
          <w:lang w:val="en-US" w:eastAsia="zh-CN"/>
        </w:rPr>
        <w:t>确定</w:t>
      </w:r>
      <w:r>
        <w:rPr>
          <w:rFonts w:hint="default" w:ascii="Times New Roman" w:hAnsi="Times New Roman" w:eastAsia="仿宋_GB2312" w:cs="Times New Roman"/>
          <w:color w:val="auto"/>
          <w:sz w:val="32"/>
          <w:szCs w:val="32"/>
          <w:highlight w:val="none"/>
        </w:rPr>
        <w:t>积极分子28人、</w:t>
      </w:r>
      <w:r>
        <w:rPr>
          <w:rFonts w:hint="eastAsia" w:ascii="Times New Roman" w:hAnsi="Times New Roman" w:eastAsia="仿宋_GB2312" w:cs="Times New Roman"/>
          <w:color w:val="auto"/>
          <w:sz w:val="32"/>
          <w:szCs w:val="32"/>
          <w:highlight w:val="none"/>
          <w:lang w:val="en-US" w:eastAsia="zh-CN"/>
        </w:rPr>
        <w:t>发展</w:t>
      </w:r>
      <w:r>
        <w:rPr>
          <w:rFonts w:hint="default" w:ascii="Times New Roman" w:hAnsi="Times New Roman" w:eastAsia="仿宋_GB2312" w:cs="Times New Roman"/>
          <w:color w:val="auto"/>
          <w:sz w:val="32"/>
          <w:szCs w:val="32"/>
          <w:highlight w:val="none"/>
        </w:rPr>
        <w:t>预备党员6人、转为正式党员4人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学生坚决拥护党的领导，以党员标准严格要求自己。在社会实践、志愿服务等活动中表现突出，展现良好社会责任感和奉献精神。</w:t>
      </w:r>
    </w:p>
    <w:p w14:paraId="02C2C56D">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实践能力方面，学生具备较强实践操作能力和创新意识。通过课程实验、综合实训、实习见习、毕业论文（设计）等实践教学环节，实验操作技能、数据分析能力、科研创新能力显著提升。2024年度，参与大学生创新创业训练计划项目 20 余项（国家级 3 项、省级 5 项）；部分学生参与教师科研项目，发表多篇学术论文，展现良好科研潜力。</w:t>
      </w:r>
    </w:p>
    <w:p w14:paraId="0471E413">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（二）学生发展支持体系建设</w:t>
      </w:r>
    </w:p>
    <w:p w14:paraId="0111AA44">
      <w:pPr>
        <w:pageBreakBefore w:val="0"/>
        <w:widowControl w:val="0"/>
        <w:kinsoku/>
        <w:wordWrap/>
        <w:overflowPunct/>
        <w:topLinePunct w:val="0"/>
        <w:bidi w:val="0"/>
        <w:spacing w:line="576"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学业支持体系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实行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辅导</w:t>
      </w:r>
      <w:r>
        <w:rPr>
          <w:rFonts w:hint="eastAsia" w:ascii="Times New Roman" w:hAnsi="Times New Roman" w:eastAsia="仿宋_GB2312" w:cs="Times New Roman"/>
          <w:color w:val="auto"/>
          <w:sz w:val="32"/>
          <w:szCs w:val="32"/>
          <w:highlight w:val="none"/>
          <w:lang w:val="en-US" w:eastAsia="zh-CN"/>
        </w:rPr>
        <w:t>员</w:t>
      </w:r>
      <w:r>
        <w:rPr>
          <w:rFonts w:hint="default" w:ascii="Times New Roman" w:hAnsi="Times New Roman" w:eastAsia="仿宋_GB2312" w:cs="Times New Roman"/>
          <w:color w:val="auto"/>
          <w:sz w:val="32"/>
          <w:szCs w:val="32"/>
          <w:highlight w:val="none"/>
        </w:rPr>
        <w:t>+班主任+学业导师</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三位一体指导制度，按 </w:t>
      </w:r>
      <w:r>
        <w:rPr>
          <w:rFonts w:hint="eastAsia"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:1 配比配备学业导师</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提供个性化服务；建立学业帮扶机制，开展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一对一</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辅导与专项讲座；完善学习资源供给</w:t>
      </w:r>
      <w:r>
        <w:rPr>
          <w:rFonts w:hint="eastAsia" w:ascii="Times New Roman" w:hAnsi="Times New Roman" w:eastAsia="仿宋_GB2312" w:cs="Times New Roman"/>
          <w:color w:val="auto"/>
          <w:sz w:val="32"/>
          <w:szCs w:val="32"/>
          <w:highlight w:val="none"/>
          <w:lang w:val="en-US" w:eastAsia="zh-CN"/>
        </w:rPr>
        <w:t>体系</w:t>
      </w:r>
      <w:r>
        <w:rPr>
          <w:rFonts w:hint="default" w:ascii="Times New Roman" w:hAnsi="Times New Roman" w:eastAsia="仿宋_GB2312" w:cs="Times New Roman"/>
          <w:color w:val="auto"/>
          <w:sz w:val="32"/>
          <w:szCs w:val="32"/>
          <w:highlight w:val="none"/>
        </w:rPr>
        <w:t>，图书馆配备外文图书期刊，搭建线上学习平台，配套建设考研自习室、创新创业实验室等专用学习场地</w:t>
      </w:r>
      <w:r>
        <w:rPr>
          <w:rFonts w:hint="eastAsia" w:ascii="Times New Roman" w:hAnsi="Times New Roman" w:eastAsia="仿宋_GB2312" w:cs="Times New Roman"/>
          <w:color w:val="auto"/>
          <w:sz w:val="32"/>
          <w:szCs w:val="32"/>
          <w:highlight w:val="none"/>
          <w:lang w:eastAsia="zh-CN"/>
        </w:rPr>
        <w:t>。</w:t>
      </w:r>
    </w:p>
    <w:p w14:paraId="5BDE0170">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生活支持体系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辅导员和班主任定期走访学生宿舍，了解生活情况，及时解决问题；建立生活信息反馈机制，收集学生意见建议，改进生活服务质量。组织篮球赛、文艺晚会等文体活动 </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0 余场，丰富</w:t>
      </w:r>
      <w:r>
        <w:rPr>
          <w:rFonts w:hint="eastAsia" w:ascii="Times New Roman" w:hAnsi="Times New Roman" w:eastAsia="仿宋_GB2312" w:cs="Times New Roman"/>
          <w:color w:val="auto"/>
          <w:sz w:val="32"/>
          <w:szCs w:val="32"/>
          <w:highlight w:val="none"/>
          <w:lang w:val="en-US" w:eastAsia="zh-CN"/>
        </w:rPr>
        <w:t>学生</w:t>
      </w:r>
      <w:r>
        <w:rPr>
          <w:rFonts w:hint="default" w:ascii="Times New Roman" w:hAnsi="Times New Roman" w:eastAsia="仿宋_GB2312" w:cs="Times New Roman"/>
          <w:color w:val="auto"/>
          <w:sz w:val="32"/>
          <w:szCs w:val="32"/>
          <w:highlight w:val="none"/>
        </w:rPr>
        <w:t>课余生活。</w:t>
      </w:r>
    </w:p>
    <w:p w14:paraId="68D69C37">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心理支持体系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一是建立心理健康教育课程体系，开设《大学生心理健康教育》课程，</w:t>
      </w:r>
      <w:r>
        <w:rPr>
          <w:rFonts w:hint="eastAsia" w:ascii="Times New Roman" w:hAnsi="Times New Roman" w:eastAsia="仿宋_GB2312" w:cs="Times New Roman"/>
          <w:color w:val="auto"/>
          <w:sz w:val="32"/>
          <w:szCs w:val="32"/>
          <w:highlight w:val="none"/>
          <w:lang w:val="en-US" w:eastAsia="zh-CN"/>
        </w:rPr>
        <w:t>定期</w:t>
      </w:r>
      <w:r>
        <w:rPr>
          <w:rFonts w:hint="default" w:ascii="Times New Roman" w:hAnsi="Times New Roman" w:eastAsia="仿宋_GB2312" w:cs="Times New Roman"/>
          <w:color w:val="auto"/>
          <w:sz w:val="32"/>
          <w:szCs w:val="32"/>
          <w:highlight w:val="none"/>
        </w:rPr>
        <w:t>开展专题讲座和心理咨询活动。二是建立心理健康预警机制，辅导员和班主任密切关注学生心理动态，建立心理健康档案，对有心理问题的学生重点关注和跟踪辅导。</w:t>
      </w:r>
    </w:p>
    <w:p w14:paraId="7EFC9D37">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（三）学生国际视野与跨文化交流能力培养</w:t>
      </w:r>
    </w:p>
    <w:p w14:paraId="1037B5F9">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 国际视野与跨文化交流能力</w:t>
      </w:r>
    </w:p>
    <w:p w14:paraId="372B337D">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开设国际化课程。除了引进12 门外方课程外，还开设了《</w:t>
      </w:r>
      <w:r>
        <w:rPr>
          <w:rFonts w:hint="eastAsia" w:ascii="Times New Roman" w:hAnsi="Times New Roman" w:eastAsia="仿宋_GB2312" w:cs="Times New Roman"/>
          <w:color w:val="auto"/>
          <w:sz w:val="32"/>
          <w:szCs w:val="32"/>
          <w:highlight w:val="none"/>
          <w:lang w:val="en-US" w:eastAsia="zh-CN"/>
        </w:rPr>
        <w:t>中级韩国语</w:t>
      </w:r>
      <w:r>
        <w:rPr>
          <w:rFonts w:hint="default"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US" w:eastAsia="zh-CN"/>
        </w:rPr>
        <w:t>语言类课程，以及</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生物科学专业导论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进化生物学》等专业前沿课程，</w:t>
      </w:r>
      <w:r>
        <w:rPr>
          <w:rFonts w:hint="default" w:ascii="Times New Roman" w:hAnsi="Times New Roman" w:eastAsia="仿宋_GB2312" w:cs="Times New Roman"/>
          <w:color w:val="auto"/>
          <w:sz w:val="32"/>
          <w:szCs w:val="32"/>
          <w:highlight w:val="none"/>
        </w:rPr>
        <w:t>提升</w:t>
      </w:r>
      <w:r>
        <w:rPr>
          <w:rFonts w:hint="eastAsia" w:ascii="Times New Roman" w:hAnsi="Times New Roman" w:eastAsia="仿宋_GB2312" w:cs="Times New Roman"/>
          <w:color w:val="auto"/>
          <w:sz w:val="32"/>
          <w:szCs w:val="32"/>
          <w:highlight w:val="none"/>
          <w:lang w:val="en-US" w:eastAsia="zh-CN"/>
        </w:rPr>
        <w:t>学生</w:t>
      </w:r>
      <w:r>
        <w:rPr>
          <w:rFonts w:hint="default" w:ascii="Times New Roman" w:hAnsi="Times New Roman" w:eastAsia="仿宋_GB2312" w:cs="Times New Roman"/>
          <w:color w:val="auto"/>
          <w:sz w:val="32"/>
          <w:szCs w:val="32"/>
          <w:highlight w:val="none"/>
        </w:rPr>
        <w:t>外语水平和跨文化交流能力，</w:t>
      </w:r>
      <w:r>
        <w:rPr>
          <w:rFonts w:hint="eastAsia" w:ascii="Times New Roman" w:hAnsi="Times New Roman" w:eastAsia="仿宋_GB2312" w:cs="Times New Roman"/>
          <w:color w:val="auto"/>
          <w:sz w:val="32"/>
          <w:szCs w:val="32"/>
          <w:highlight w:val="none"/>
          <w:lang w:val="en-US" w:eastAsia="zh-CN"/>
        </w:rPr>
        <w:t>并</w:t>
      </w:r>
      <w:r>
        <w:rPr>
          <w:rFonts w:hint="default" w:ascii="Times New Roman" w:hAnsi="Times New Roman" w:eastAsia="仿宋_GB2312" w:cs="Times New Roman"/>
          <w:color w:val="auto"/>
          <w:sz w:val="32"/>
          <w:szCs w:val="32"/>
          <w:highlight w:val="none"/>
        </w:rPr>
        <w:t>了解国际生物科学领域的最新发展动态。</w:t>
      </w:r>
    </w:p>
    <w:p w14:paraId="58EFA007">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开展国际交流活动。组织开展</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交换生</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 xml:space="preserve"> 双学位等交流项目宣讲会，为学生搭建出国学习平台；鼓励学生参与韩方教授</w:t>
      </w:r>
      <w:r>
        <w:rPr>
          <w:rFonts w:hint="eastAsia" w:ascii="Times New Roman" w:hAnsi="Times New Roman" w:eastAsia="仿宋_GB2312" w:cs="Times New Roman"/>
          <w:color w:val="auto"/>
          <w:sz w:val="32"/>
          <w:szCs w:val="32"/>
          <w:highlight w:val="none"/>
          <w:lang w:val="en-US" w:eastAsia="zh-CN"/>
        </w:rPr>
        <w:t>加强交流沟通</w:t>
      </w:r>
      <w:r>
        <w:rPr>
          <w:rFonts w:hint="default" w:ascii="Times New Roman" w:hAnsi="Times New Roman" w:eastAsia="仿宋_GB2312" w:cs="Times New Roman"/>
          <w:color w:val="auto"/>
          <w:sz w:val="32"/>
          <w:szCs w:val="32"/>
          <w:highlight w:val="none"/>
        </w:rPr>
        <w:t>，增进师生双向了解</w:t>
      </w:r>
      <w:r>
        <w:rPr>
          <w:rFonts w:hint="eastAsia" w:ascii="Times New Roman" w:hAnsi="Times New Roman" w:eastAsia="仿宋_GB2312" w:cs="Times New Roman"/>
          <w:color w:val="auto"/>
          <w:sz w:val="32"/>
          <w:szCs w:val="32"/>
          <w:highlight w:val="none"/>
          <w:lang w:val="en-US" w:eastAsia="zh-CN"/>
        </w:rPr>
        <w:t>；组织开展中韩学术研讨活动，拓宽专任教师学术视野，加强科研成果打磨。</w:t>
      </w:r>
    </w:p>
    <w:p w14:paraId="06CC4F5F">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营造国际化校园氛围。举办国际文化节、跨文化交流沙龙等活动，让学生感受不同国家的文化魅力，提升跨文化交流能力；鼓励学生组建外语学习社团、国际交流社团等，开展丰富多彩的社团活动，营造良好的国际化校园氛围。</w:t>
      </w:r>
    </w:p>
    <w:p w14:paraId="1AEC2480">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 实习实践</w:t>
      </w:r>
    </w:p>
    <w:p w14:paraId="78B4F759">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校内实习实践。依托学校的实验室、实训基地等教学资源，开展课程实验、综合实训、科研创新训练等校内实习实践活动，提升学生实验操作技能和科研创新能力。2024年度，学生参与校内实习实践累计完成实验项目</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余个。</w:t>
      </w:r>
    </w:p>
    <w:p w14:paraId="1360E15A">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校外实习实践。加强与地方基础教育学校、生物制药企业、科研院所、环保企业等单位的合作，共建实习实践基地 </w:t>
      </w:r>
      <w:r>
        <w:rPr>
          <w:rFonts w:hint="eastAsia"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个，为学生提供了稳定的校外实习实践岗位。2024 年度，共组织 6</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 xml:space="preserve"> 名学生到校外实习实践基地进行实习，实习时长均达到 3 个月以上。学生在实习过程中，得到了用人单位的高度评价。</w:t>
      </w:r>
    </w:p>
    <w:p w14:paraId="0409BB06">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 升学与就业</w:t>
      </w:r>
    </w:p>
    <w:p w14:paraId="5D46E781">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（1）升学情况</w:t>
      </w:r>
    </w:p>
    <w:p w14:paraId="30995C50">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学校为学生升学提供了全方位的支持，包括考研辅导、升学咨询、调剂指导等。学院组织专业教师为学生提供</w:t>
      </w:r>
      <w:r>
        <w:rPr>
          <w:rFonts w:hint="eastAsia" w:ascii="Times New Roman" w:hAnsi="Times New Roman" w:eastAsia="仿宋_GB2312" w:cs="Times New Roman"/>
          <w:color w:val="auto"/>
          <w:sz w:val="32"/>
          <w:szCs w:val="32"/>
          <w:highlight w:val="none"/>
          <w:lang w:val="en-US" w:eastAsia="zh-CN"/>
        </w:rPr>
        <w:t>义务</w:t>
      </w:r>
      <w:r>
        <w:rPr>
          <w:rFonts w:hint="default" w:ascii="Times New Roman" w:hAnsi="Times New Roman" w:eastAsia="仿宋_GB2312" w:cs="Times New Roman"/>
          <w:color w:val="auto"/>
          <w:sz w:val="32"/>
          <w:szCs w:val="32"/>
          <w:highlight w:val="none"/>
        </w:rPr>
        <w:t>考研专业课辅导，开</w:t>
      </w:r>
      <w:r>
        <w:rPr>
          <w:rFonts w:hint="eastAsia" w:ascii="Times New Roman" w:hAnsi="Times New Roman" w:eastAsia="仿宋_GB2312" w:cs="Times New Roman"/>
          <w:color w:val="auto"/>
          <w:sz w:val="32"/>
          <w:szCs w:val="32"/>
          <w:highlight w:val="none"/>
          <w:lang w:val="en-US" w:eastAsia="zh-CN"/>
        </w:rPr>
        <w:t>展</w:t>
      </w:r>
      <w:r>
        <w:rPr>
          <w:rFonts w:hint="default" w:ascii="Times New Roman" w:hAnsi="Times New Roman" w:eastAsia="仿宋_GB2312" w:cs="Times New Roman"/>
          <w:color w:val="auto"/>
          <w:sz w:val="32"/>
          <w:szCs w:val="32"/>
          <w:highlight w:val="none"/>
        </w:rPr>
        <w:t>考研英语、政治辅导；邀请考研成功的校友分享经验，为学生提供升学咨询；建立考研调剂信息平台，为学生提供最新的调剂信息和指导。</w:t>
      </w:r>
    </w:p>
    <w:p w14:paraId="76C0A46A">
      <w:pPr>
        <w:pageBreakBefore w:val="0"/>
        <w:widowControl w:val="0"/>
        <w:numPr>
          <w:ilvl w:val="0"/>
          <w:numId w:val="0"/>
        </w:numPr>
        <w:kinsoku/>
        <w:wordWrap/>
        <w:overflowPunct/>
        <w:topLinePunct w:val="0"/>
        <w:bidi w:val="0"/>
        <w:spacing w:line="576" w:lineRule="exact"/>
        <w:ind w:left="0" w:leftChars="0" w:firstLine="640" w:firstLineChars="200"/>
        <w:textAlignment w:val="auto"/>
        <w:rPr>
          <w:color w:val="auto"/>
        </w:rPr>
      </w:pPr>
      <w:r>
        <w:rPr>
          <w:rFonts w:hint="default" w:ascii="Times New Roman" w:hAnsi="Times New Roman" w:eastAsia="仿宋_GB2312" w:cs="Times New Roman"/>
          <w:color w:val="auto"/>
          <w:kern w:val="2"/>
          <w:sz w:val="32"/>
          <w:szCs w:val="32"/>
          <w:highlight w:val="none"/>
          <w:lang w:val="en-US" w:eastAsia="zh-CN" w:bidi="ar-SA"/>
        </w:rPr>
        <w:t>2024年度，2020 级毕业生中4人选择继续深造，考入国内知名高校攻读硕士学位，1人出国留学。近年来，项目学生升学率稳步提升，项目人才培养质量不断提升。</w:t>
      </w:r>
    </w:p>
    <w:p w14:paraId="55543369">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（2）就业情况</w:t>
      </w:r>
    </w:p>
    <w:p w14:paraId="5C2D0A26">
      <w:pPr>
        <w:pageBreakBefore w:val="0"/>
        <w:widowControl w:val="0"/>
        <w:numPr>
          <w:ilvl w:val="0"/>
          <w:numId w:val="0"/>
        </w:numPr>
        <w:kinsoku/>
        <w:wordWrap/>
        <w:overflowPunct/>
        <w:topLinePunct w:val="0"/>
        <w:bidi w:val="0"/>
        <w:spacing w:line="576" w:lineRule="exact"/>
        <w:ind w:left="0" w:leftChars="0" w:firstLine="640" w:firstLineChars="200"/>
        <w:textAlignment w:val="auto"/>
        <w:rPr>
          <w:color w:val="auto"/>
        </w:rPr>
      </w:pPr>
      <w:r>
        <w:rPr>
          <w:rFonts w:hint="default" w:ascii="Times New Roman" w:hAnsi="Times New Roman" w:eastAsia="仿宋_GB2312" w:cs="Times New Roman"/>
          <w:color w:val="auto"/>
          <w:kern w:val="2"/>
          <w:sz w:val="32"/>
          <w:szCs w:val="32"/>
          <w:highlight w:val="none"/>
          <w:lang w:val="en-US" w:eastAsia="zh-CN" w:bidi="ar-SA"/>
        </w:rPr>
        <w:t>2024年度，2020级毕业生中52人顺利就业，升学就业率达到 87.69%。毕业生就业区域分布广泛，不仅覆盖了吉林省各地市，还辐射到山东、辽宁、黑龙江、河南、内蒙古等省份。就业方向主要包括地方基础教育学校、生物制药企业、科研院所、公务员、事业单位等，涵盖了生物科学相关的多个领域，用人单位对项目毕业生的满意度较高。</w:t>
      </w:r>
    </w:p>
    <w:p w14:paraId="2361CAA7">
      <w:pPr>
        <w:pStyle w:val="2"/>
        <w:pageBreakBefore w:val="0"/>
        <w:widowControl w:val="0"/>
        <w:kinsoku/>
        <w:wordWrap/>
        <w:overflowPunct/>
        <w:topLinePunct w:val="0"/>
        <w:bidi w:val="0"/>
        <w:spacing w:before="0" w:after="0" w:line="576" w:lineRule="exact"/>
        <w:ind w:firstLine="640" w:firstLineChars="200"/>
        <w:textAlignment w:val="auto"/>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四</w:t>
      </w:r>
      <w:r>
        <w:rPr>
          <w:rFonts w:hint="default" w:ascii="黑体" w:hAnsi="黑体" w:eastAsia="黑体" w:cs="黑体"/>
          <w:b w:val="0"/>
          <w:bCs w:val="0"/>
          <w:color w:val="auto"/>
          <w:sz w:val="32"/>
          <w:szCs w:val="32"/>
          <w:highlight w:val="none"/>
        </w:rPr>
        <w:t>、财务管理情况</w:t>
      </w:r>
    </w:p>
    <w:p w14:paraId="7AE95BCC">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项目财务</w:t>
      </w:r>
      <w:r>
        <w:rPr>
          <w:rFonts w:hint="eastAsia" w:ascii="Times New Roman" w:hAnsi="Times New Roman" w:eastAsia="仿宋_GB2312" w:cs="Times New Roman"/>
          <w:color w:val="auto"/>
          <w:sz w:val="32"/>
          <w:szCs w:val="32"/>
          <w:highlight w:val="none"/>
          <w:lang w:val="en-US" w:eastAsia="zh-CN"/>
        </w:rPr>
        <w:t>管理工作</w:t>
      </w:r>
      <w:r>
        <w:rPr>
          <w:rFonts w:hint="default" w:ascii="Times New Roman" w:hAnsi="Times New Roman" w:eastAsia="仿宋_GB2312" w:cs="Times New Roman"/>
          <w:color w:val="auto"/>
          <w:sz w:val="32"/>
          <w:szCs w:val="32"/>
          <w:highlight w:val="none"/>
          <w:lang w:val="en-US" w:eastAsia="zh-CN"/>
        </w:rPr>
        <w:t>严格遵循国家财务制度及合作办学财务管理</w:t>
      </w:r>
      <w:r>
        <w:rPr>
          <w:rFonts w:hint="eastAsia"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lang w:val="en-US" w:eastAsia="zh-CN"/>
        </w:rPr>
        <w:t>要求，纳入学校统一</w:t>
      </w:r>
      <w:r>
        <w:rPr>
          <w:rFonts w:hint="eastAsia" w:ascii="Times New Roman" w:hAnsi="Times New Roman" w:eastAsia="仿宋_GB2312" w:cs="Times New Roman"/>
          <w:color w:val="auto"/>
          <w:sz w:val="32"/>
          <w:szCs w:val="32"/>
          <w:highlight w:val="none"/>
          <w:lang w:val="en-US" w:eastAsia="zh-CN"/>
        </w:rPr>
        <w:t>财务</w:t>
      </w:r>
      <w:r>
        <w:rPr>
          <w:rFonts w:hint="default" w:ascii="Times New Roman" w:hAnsi="Times New Roman" w:eastAsia="仿宋_GB2312" w:cs="Times New Roman"/>
          <w:color w:val="auto"/>
          <w:sz w:val="32"/>
          <w:szCs w:val="32"/>
          <w:highlight w:val="none"/>
          <w:lang w:val="en-US" w:eastAsia="zh-CN"/>
        </w:rPr>
        <w:t>管理体系，</w:t>
      </w:r>
      <w:r>
        <w:rPr>
          <w:rFonts w:hint="default" w:ascii="Times New Roman" w:hAnsi="Times New Roman" w:eastAsia="仿宋_GB2312" w:cs="Times New Roman"/>
          <w:color w:val="auto"/>
          <w:sz w:val="32"/>
          <w:szCs w:val="32"/>
          <w:highlight w:val="none"/>
        </w:rPr>
        <w:t>设立专用</w:t>
      </w:r>
      <w:r>
        <w:rPr>
          <w:rFonts w:hint="default" w:ascii="Times New Roman" w:hAnsi="Times New Roman" w:eastAsia="仿宋_GB2312" w:cs="Times New Roman"/>
          <w:color w:val="auto"/>
          <w:sz w:val="32"/>
          <w:szCs w:val="32"/>
          <w:highlight w:val="none"/>
          <w:lang w:val="en-US" w:eastAsia="zh-CN"/>
        </w:rPr>
        <w:t>经费账户，执行专款专用、单独核算制度。</w:t>
      </w:r>
      <w:r>
        <w:rPr>
          <w:rFonts w:hint="default" w:ascii="Times New Roman" w:hAnsi="Times New Roman" w:eastAsia="仿宋_GB2312" w:cs="Times New Roman"/>
          <w:color w:val="auto"/>
          <w:sz w:val="32"/>
          <w:szCs w:val="32"/>
          <w:highlight w:val="none"/>
        </w:rPr>
        <w:t>项目收费标准按国家规定报经吉林省教育厅、财政厅、物价局批准</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实行年度审核并</w:t>
      </w:r>
      <w:r>
        <w:rPr>
          <w:rFonts w:hint="default" w:ascii="Times New Roman" w:hAnsi="Times New Roman" w:eastAsia="仿宋_GB2312" w:cs="Times New Roman"/>
          <w:color w:val="auto"/>
          <w:sz w:val="32"/>
          <w:szCs w:val="32"/>
          <w:highlight w:val="none"/>
        </w:rPr>
        <w:t>向社会公布。学费按照每生每年2</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000.00元人民币计收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所收费用全部</w:t>
      </w:r>
      <w:r>
        <w:rPr>
          <w:rFonts w:hint="eastAsia" w:ascii="Times New Roman" w:hAnsi="Times New Roman" w:eastAsia="仿宋_GB2312" w:cs="Times New Roman"/>
          <w:color w:val="auto"/>
          <w:sz w:val="32"/>
          <w:szCs w:val="32"/>
          <w:highlight w:val="none"/>
          <w:lang w:val="en-US" w:eastAsia="zh-CN"/>
        </w:rPr>
        <w:t>用于</w:t>
      </w:r>
      <w:r>
        <w:rPr>
          <w:rFonts w:hint="default" w:ascii="Times New Roman" w:hAnsi="Times New Roman" w:eastAsia="仿宋_GB2312" w:cs="Times New Roman"/>
          <w:color w:val="auto"/>
          <w:sz w:val="32"/>
          <w:szCs w:val="32"/>
          <w:highlight w:val="none"/>
        </w:rPr>
        <w:t>合作</w:t>
      </w:r>
      <w:r>
        <w:rPr>
          <w:rFonts w:hint="eastAsia" w:ascii="Times New Roman" w:hAnsi="Times New Roman" w:eastAsia="仿宋_GB2312" w:cs="Times New Roman"/>
          <w:color w:val="auto"/>
          <w:sz w:val="32"/>
          <w:szCs w:val="32"/>
          <w:highlight w:val="none"/>
          <w:lang w:val="en-US" w:eastAsia="zh-CN"/>
        </w:rPr>
        <w:t>办学</w:t>
      </w:r>
      <w:r>
        <w:rPr>
          <w:rFonts w:hint="default" w:ascii="Times New Roman" w:hAnsi="Times New Roman" w:eastAsia="仿宋_GB2312" w:cs="Times New Roman"/>
          <w:color w:val="auto"/>
          <w:sz w:val="32"/>
          <w:szCs w:val="32"/>
          <w:highlight w:val="none"/>
        </w:rPr>
        <w:t>项目</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办学条件建设和学生活动</w:t>
      </w:r>
      <w:r>
        <w:rPr>
          <w:rFonts w:hint="eastAsia" w:ascii="Times New Roman" w:hAnsi="Times New Roman" w:eastAsia="仿宋_GB2312" w:cs="Times New Roman"/>
          <w:color w:val="auto"/>
          <w:sz w:val="32"/>
          <w:szCs w:val="32"/>
          <w:highlight w:val="none"/>
          <w:lang w:val="en-US" w:eastAsia="zh-CN"/>
        </w:rPr>
        <w:t>开展严格执行</w:t>
      </w:r>
      <w:r>
        <w:rPr>
          <w:rFonts w:hint="default" w:ascii="Times New Roman" w:hAnsi="Times New Roman" w:eastAsia="仿宋_GB2312" w:cs="Times New Roman"/>
          <w:color w:val="auto"/>
          <w:sz w:val="32"/>
          <w:szCs w:val="32"/>
          <w:highlight w:val="none"/>
        </w:rPr>
        <w:t>专款专用</w:t>
      </w:r>
      <w:r>
        <w:rPr>
          <w:rFonts w:hint="eastAsia" w:ascii="Times New Roman" w:hAnsi="Times New Roman" w:eastAsia="仿宋_GB2312" w:cs="Times New Roman"/>
          <w:color w:val="auto"/>
          <w:sz w:val="32"/>
          <w:szCs w:val="32"/>
          <w:highlight w:val="none"/>
          <w:lang w:val="en-US" w:eastAsia="zh-CN"/>
        </w:rPr>
        <w:t>要求</w:t>
      </w:r>
      <w:r>
        <w:rPr>
          <w:rFonts w:hint="default" w:ascii="Times New Roman" w:hAnsi="Times New Roman" w:eastAsia="仿宋_GB2312" w:cs="Times New Roman"/>
          <w:color w:val="auto"/>
          <w:sz w:val="32"/>
          <w:szCs w:val="32"/>
          <w:highlight w:val="none"/>
        </w:rPr>
        <w:t>，无抽逃和挪用办学经费</w:t>
      </w:r>
      <w:r>
        <w:rPr>
          <w:rFonts w:hint="eastAsia" w:ascii="Times New Roman" w:hAnsi="Times New Roman" w:eastAsia="仿宋_GB2312" w:cs="Times New Roman"/>
          <w:color w:val="auto"/>
          <w:sz w:val="32"/>
          <w:szCs w:val="32"/>
          <w:highlight w:val="none"/>
          <w:lang w:val="en-US" w:eastAsia="zh-CN"/>
        </w:rPr>
        <w:t>情形</w:t>
      </w:r>
      <w:r>
        <w:rPr>
          <w:rFonts w:hint="default" w:ascii="Times New Roman" w:hAnsi="Times New Roman" w:eastAsia="仿宋_GB2312" w:cs="Times New Roman"/>
          <w:color w:val="auto"/>
          <w:sz w:val="32"/>
          <w:szCs w:val="32"/>
          <w:highlight w:val="none"/>
        </w:rPr>
        <w:t>，亦未开展任何营利性经营活动。项目定期组织开展财务审计与专项检查，及时向上级主管部门汇报收支情况，主动接受上级监督，财务管理工作规范透明。</w:t>
      </w:r>
    </w:p>
    <w:p w14:paraId="09DEF792">
      <w:pPr>
        <w:pStyle w:val="2"/>
        <w:pageBreakBefore w:val="0"/>
        <w:widowControl w:val="0"/>
        <w:kinsoku/>
        <w:wordWrap/>
        <w:overflowPunct/>
        <w:topLinePunct w:val="0"/>
        <w:bidi w:val="0"/>
        <w:spacing w:before="0" w:after="0" w:line="576" w:lineRule="exact"/>
        <w:ind w:firstLine="640" w:firstLineChars="200"/>
        <w:textAlignment w:val="auto"/>
        <w:rPr>
          <w:rFonts w:hint="default"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五</w:t>
      </w:r>
      <w:r>
        <w:rPr>
          <w:rFonts w:hint="default" w:ascii="黑体" w:hAnsi="黑体" w:eastAsia="黑体" w:cs="黑体"/>
          <w:b w:val="0"/>
          <w:bCs w:val="0"/>
          <w:color w:val="auto"/>
          <w:sz w:val="32"/>
          <w:szCs w:val="32"/>
          <w:highlight w:val="none"/>
        </w:rPr>
        <w:t>、组织管理情况</w:t>
      </w:r>
    </w:p>
    <w:p w14:paraId="10EAD9CB">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（一）双方联合管理体制机制运行情况</w:t>
      </w:r>
    </w:p>
    <w:p w14:paraId="45A74842">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实施三级管理模式。学校国际交流与合作工作领导小组统筹规划和管理学校国际交流合作工作；中外双方联合管理委员会负责具体管理与实施；项目学院负责教育教学与学生管理。2024年11月召开年度联合管理委员会会议，就课程体系优化、师资交流等深化合作事宜达成共识。中方成立校长牵头的项目工作小组，韩方由国际处与生命科学学院负责人对接，双方沟通畅通、协作高效。</w:t>
      </w:r>
    </w:p>
    <w:p w14:paraId="08821DF7">
      <w:pPr>
        <w:pStyle w:val="3"/>
        <w:pageBreakBefore w:val="0"/>
        <w:widowControl w:val="0"/>
        <w:kinsoku/>
        <w:wordWrap/>
        <w:overflowPunct/>
        <w:topLinePunct w:val="0"/>
        <w:bidi w:val="0"/>
        <w:spacing w:before="0" w:after="0" w:line="576" w:lineRule="exact"/>
        <w:ind w:left="0" w:leftChars="0"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rPr>
        <w:t>（二）制度建设管理情况</w:t>
      </w:r>
    </w:p>
    <w:p w14:paraId="5BA27AC4">
      <w:pPr>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auto"/>
          <w:spacing w:val="4"/>
          <w:kern w:val="0"/>
          <w:sz w:val="32"/>
          <w:szCs w:val="32"/>
          <w:lang w:val="zh-CN"/>
        </w:rPr>
      </w:pPr>
      <w:r>
        <w:rPr>
          <w:rFonts w:hint="eastAsia" w:ascii="Times New Roman" w:hAnsi="Times New Roman" w:eastAsia="仿宋_GB2312" w:cs="Times New Roman"/>
          <w:snapToGrid w:val="0"/>
          <w:color w:val="auto"/>
          <w:spacing w:val="4"/>
          <w:kern w:val="0"/>
          <w:sz w:val="32"/>
          <w:szCs w:val="32"/>
          <w:lang w:val="en-US" w:eastAsia="zh-CN"/>
        </w:rPr>
        <w:t>1.</w:t>
      </w:r>
      <w:r>
        <w:rPr>
          <w:rFonts w:hint="eastAsia" w:ascii="Times New Roman" w:hAnsi="Times New Roman" w:eastAsia="仿宋_GB2312" w:cs="Times New Roman"/>
          <w:snapToGrid w:val="0"/>
          <w:color w:val="auto"/>
          <w:spacing w:val="4"/>
          <w:kern w:val="0"/>
          <w:sz w:val="32"/>
          <w:szCs w:val="32"/>
          <w:lang w:val="zh-CN"/>
        </w:rPr>
        <w:t>项目</w:t>
      </w:r>
      <w:r>
        <w:rPr>
          <w:rFonts w:hint="eastAsia" w:ascii="Times New Roman" w:hAnsi="Times New Roman" w:eastAsia="仿宋_GB2312" w:cs="Times New Roman"/>
          <w:snapToGrid w:val="0"/>
          <w:color w:val="auto"/>
          <w:spacing w:val="4"/>
          <w:kern w:val="0"/>
          <w:sz w:val="32"/>
          <w:szCs w:val="32"/>
          <w:lang w:val="en-US" w:eastAsia="zh-CN"/>
        </w:rPr>
        <w:t>管理</w:t>
      </w:r>
      <w:r>
        <w:rPr>
          <w:rFonts w:hint="eastAsia" w:ascii="Times New Roman" w:hAnsi="Times New Roman" w:eastAsia="仿宋_GB2312" w:cs="Times New Roman"/>
          <w:snapToGrid w:val="0"/>
          <w:color w:val="auto"/>
          <w:spacing w:val="4"/>
          <w:kern w:val="0"/>
          <w:sz w:val="32"/>
          <w:szCs w:val="32"/>
          <w:lang w:val="zh-CN"/>
        </w:rPr>
        <w:t>：制定了《通化师范学院中外合作办学项目管理办法（试行）》等规章制度，明确了项目管理的各项流程和要求，为项目的规范化管理提供了制度保障。</w:t>
      </w:r>
    </w:p>
    <w:p w14:paraId="375E81A4">
      <w:pPr>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auto"/>
          <w:spacing w:val="4"/>
          <w:kern w:val="0"/>
          <w:sz w:val="32"/>
          <w:szCs w:val="32"/>
          <w:lang w:val="zh-CN"/>
        </w:rPr>
      </w:pPr>
      <w:r>
        <w:rPr>
          <w:rFonts w:hint="eastAsia" w:ascii="Times New Roman" w:hAnsi="Times New Roman" w:eastAsia="仿宋_GB2312" w:cs="Times New Roman"/>
          <w:snapToGrid w:val="0"/>
          <w:color w:val="auto"/>
          <w:spacing w:val="4"/>
          <w:kern w:val="0"/>
          <w:sz w:val="32"/>
          <w:szCs w:val="32"/>
          <w:lang w:val="en-US" w:eastAsia="zh-CN"/>
        </w:rPr>
        <w:t>2.</w:t>
      </w:r>
      <w:r>
        <w:rPr>
          <w:rFonts w:hint="eastAsia" w:ascii="Times New Roman" w:hAnsi="Times New Roman" w:eastAsia="仿宋_GB2312" w:cs="Times New Roman"/>
          <w:snapToGrid w:val="0"/>
          <w:color w:val="auto"/>
          <w:spacing w:val="4"/>
          <w:kern w:val="0"/>
          <w:sz w:val="32"/>
          <w:szCs w:val="32"/>
          <w:lang w:val="zh-CN"/>
        </w:rPr>
        <w:t>学籍管理：学院严格遵循《通化师范学院学生管理规定》及相关学籍管理制度，对入学注册、休学复学、毕业审核等关键流程进行了明确规定，</w:t>
      </w:r>
      <w:r>
        <w:rPr>
          <w:rFonts w:hint="eastAsia" w:ascii="Times New Roman" w:hAnsi="Times New Roman" w:eastAsia="仿宋_GB2312" w:cs="Times New Roman"/>
          <w:snapToGrid w:val="0"/>
          <w:color w:val="auto"/>
          <w:spacing w:val="4"/>
          <w:kern w:val="0"/>
          <w:sz w:val="32"/>
          <w:szCs w:val="32"/>
          <w:lang w:val="en-US" w:eastAsia="zh-CN"/>
        </w:rPr>
        <w:t>并</w:t>
      </w:r>
      <w:r>
        <w:rPr>
          <w:rFonts w:hint="eastAsia" w:ascii="Times New Roman" w:hAnsi="Times New Roman" w:eastAsia="仿宋_GB2312" w:cs="Times New Roman"/>
          <w:snapToGrid w:val="0"/>
          <w:color w:val="auto"/>
          <w:spacing w:val="4"/>
          <w:kern w:val="0"/>
          <w:sz w:val="32"/>
          <w:szCs w:val="32"/>
          <w:lang w:val="zh-CN"/>
        </w:rPr>
        <w:t>实施电子化学籍注册与动态管理机制，确保学籍档案的规范性与完整性。</w:t>
      </w:r>
    </w:p>
    <w:p w14:paraId="2D98F9C6">
      <w:pPr>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auto"/>
          <w:spacing w:val="4"/>
          <w:kern w:val="0"/>
          <w:sz w:val="32"/>
          <w:szCs w:val="32"/>
          <w:lang w:val="zh-CN"/>
        </w:rPr>
      </w:pPr>
      <w:r>
        <w:rPr>
          <w:rFonts w:hint="eastAsia" w:ascii="Times New Roman" w:hAnsi="Times New Roman" w:eastAsia="仿宋_GB2312" w:cs="Times New Roman"/>
          <w:snapToGrid w:val="0"/>
          <w:color w:val="auto"/>
          <w:spacing w:val="4"/>
          <w:kern w:val="0"/>
          <w:sz w:val="32"/>
          <w:szCs w:val="32"/>
          <w:lang w:val="en-US" w:eastAsia="zh-CN"/>
        </w:rPr>
        <w:t>3.</w:t>
      </w:r>
      <w:r>
        <w:rPr>
          <w:rFonts w:hint="eastAsia" w:ascii="Times New Roman" w:hAnsi="Times New Roman" w:eastAsia="仿宋_GB2312" w:cs="Times New Roman"/>
          <w:snapToGrid w:val="0"/>
          <w:color w:val="auto"/>
          <w:spacing w:val="4"/>
          <w:kern w:val="0"/>
          <w:sz w:val="32"/>
          <w:szCs w:val="32"/>
          <w:lang w:val="zh-CN"/>
        </w:rPr>
        <w:t>教学管理：依据《通化师范学院教学管理文件汇编》等制度，建立“二级审核”机制，确保培养方案与教学计划精准执行。教学档案标准化、全面覆盖教学大纲、教案、试卷、成绩、教学总结等各个环节的材料。教学质量监控纳入学校整体的教学质量监控体系之中，</w:t>
      </w:r>
      <w:r>
        <w:rPr>
          <w:rFonts w:hint="eastAsia" w:ascii="Times New Roman" w:hAnsi="Times New Roman" w:eastAsia="仿宋_GB2312" w:cs="Times New Roman"/>
          <w:snapToGrid w:val="0"/>
          <w:color w:val="auto"/>
          <w:spacing w:val="4"/>
          <w:kern w:val="0"/>
          <w:sz w:val="32"/>
          <w:szCs w:val="32"/>
          <w:lang w:val="en-US" w:eastAsia="zh-CN"/>
        </w:rPr>
        <w:t>实行</w:t>
      </w:r>
      <w:r>
        <w:rPr>
          <w:rFonts w:hint="eastAsia" w:ascii="Times New Roman" w:hAnsi="Times New Roman" w:eastAsia="仿宋_GB2312" w:cs="Times New Roman"/>
          <w:snapToGrid w:val="0"/>
          <w:color w:val="auto"/>
          <w:spacing w:val="4"/>
          <w:kern w:val="0"/>
          <w:sz w:val="32"/>
          <w:szCs w:val="32"/>
          <w:lang w:val="zh-CN"/>
        </w:rPr>
        <w:t>三级督导、三期检查等多元化教学反馈与监控措施。</w:t>
      </w:r>
    </w:p>
    <w:p w14:paraId="73CE5287">
      <w:pPr>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auto"/>
          <w:spacing w:val="4"/>
          <w:kern w:val="0"/>
          <w:sz w:val="32"/>
          <w:szCs w:val="32"/>
          <w:lang w:val="zh-CN"/>
        </w:rPr>
      </w:pPr>
      <w:r>
        <w:rPr>
          <w:rFonts w:hint="eastAsia" w:ascii="Times New Roman" w:hAnsi="Times New Roman" w:eastAsia="仿宋_GB2312" w:cs="Times New Roman"/>
          <w:snapToGrid w:val="0"/>
          <w:color w:val="auto"/>
          <w:spacing w:val="4"/>
          <w:kern w:val="0"/>
          <w:sz w:val="32"/>
          <w:szCs w:val="32"/>
          <w:lang w:val="en-US" w:eastAsia="zh-CN"/>
        </w:rPr>
        <w:t>4.</w:t>
      </w:r>
      <w:r>
        <w:rPr>
          <w:rFonts w:hint="eastAsia" w:ascii="Times New Roman" w:hAnsi="Times New Roman" w:eastAsia="仿宋_GB2312" w:cs="Times New Roman"/>
          <w:snapToGrid w:val="0"/>
          <w:color w:val="auto"/>
          <w:spacing w:val="4"/>
          <w:kern w:val="0"/>
          <w:sz w:val="32"/>
          <w:szCs w:val="32"/>
          <w:lang w:val="zh-CN"/>
        </w:rPr>
        <w:t>教材管理：学校成立教材选用工作领导小组（</w:t>
      </w:r>
      <w:r>
        <w:rPr>
          <w:rFonts w:hint="eastAsia" w:ascii="Times New Roman" w:hAnsi="Times New Roman" w:eastAsia="仿宋_GB2312" w:cs="Times New Roman"/>
          <w:snapToGrid w:val="0"/>
          <w:color w:val="auto"/>
          <w:spacing w:val="4"/>
          <w:kern w:val="0"/>
          <w:sz w:val="32"/>
          <w:szCs w:val="32"/>
          <w:lang w:val="en-US" w:eastAsia="zh-CN"/>
        </w:rPr>
        <w:t>含境外</w:t>
      </w:r>
      <w:r>
        <w:rPr>
          <w:rFonts w:hint="eastAsia" w:ascii="Times New Roman" w:hAnsi="Times New Roman" w:eastAsia="仿宋_GB2312" w:cs="Times New Roman"/>
          <w:snapToGrid w:val="0"/>
          <w:color w:val="auto"/>
          <w:spacing w:val="4"/>
          <w:kern w:val="0"/>
          <w:sz w:val="32"/>
          <w:szCs w:val="32"/>
          <w:lang w:val="zh-CN"/>
        </w:rPr>
        <w:t>），严格执行《通化师范学院教材管理规定》选用教材。</w:t>
      </w:r>
    </w:p>
    <w:p w14:paraId="34643F5E">
      <w:pPr>
        <w:pageBreakBefore w:val="0"/>
        <w:widowControl w:val="0"/>
        <w:kinsoku/>
        <w:wordWrap/>
        <w:overflowPunct/>
        <w:topLinePunct w:val="0"/>
        <w:bidi w:val="0"/>
        <w:spacing w:line="576" w:lineRule="exact"/>
        <w:ind w:firstLine="656"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napToGrid w:val="0"/>
          <w:color w:val="auto"/>
          <w:spacing w:val="4"/>
          <w:kern w:val="0"/>
          <w:sz w:val="32"/>
          <w:szCs w:val="32"/>
          <w:lang w:val="en-US" w:eastAsia="zh-CN"/>
        </w:rPr>
        <w:t>5.文凭证书管理：根据《通化师范学院学士学位授予工作细则》审定毕业生的学位资格，根据《通化师范学院学生管理规定》颁发毕业证。颁发的中方颁发毕业证书和学位证书与本项目审批及招生简章和招生宣传相符。</w:t>
      </w:r>
    </w:p>
    <w:p w14:paraId="7B7F7A67">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（三）推动就业情况</w:t>
      </w:r>
    </w:p>
    <w:p w14:paraId="2F48C434">
      <w:pPr>
        <w:pageBreakBefore w:val="0"/>
        <w:widowControl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构建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三位一体</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工作机制与</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五位一体</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工作体系，</w:t>
      </w:r>
      <w:r>
        <w:rPr>
          <w:rFonts w:ascii="Times New Roman" w:hAnsi="Times New Roman" w:eastAsia="仿宋_GB2312" w:cs="Times New Roman"/>
          <w:snapToGrid w:val="0"/>
          <w:color w:val="auto"/>
          <w:spacing w:val="4"/>
          <w:kern w:val="0"/>
          <w:sz w:val="32"/>
          <w:szCs w:val="32"/>
          <w:lang w:val="zh-CN"/>
        </w:rPr>
        <w:t>形成齐抓共管</w:t>
      </w:r>
      <w:r>
        <w:rPr>
          <w:rFonts w:hint="eastAsia" w:ascii="Times New Roman" w:hAnsi="Times New Roman" w:eastAsia="仿宋_GB2312" w:cs="Times New Roman"/>
          <w:snapToGrid w:val="0"/>
          <w:color w:val="auto"/>
          <w:spacing w:val="4"/>
          <w:kern w:val="0"/>
          <w:sz w:val="32"/>
          <w:szCs w:val="32"/>
          <w:lang w:val="zh-CN"/>
        </w:rPr>
        <w:t>工作</w:t>
      </w:r>
      <w:r>
        <w:rPr>
          <w:rFonts w:ascii="Times New Roman" w:hAnsi="Times New Roman" w:eastAsia="仿宋_GB2312" w:cs="Times New Roman"/>
          <w:snapToGrid w:val="0"/>
          <w:color w:val="auto"/>
          <w:spacing w:val="4"/>
          <w:kern w:val="0"/>
          <w:sz w:val="32"/>
          <w:szCs w:val="32"/>
          <w:lang w:val="zh-CN"/>
        </w:rPr>
        <w:t>格局。</w:t>
      </w:r>
      <w:r>
        <w:rPr>
          <w:rFonts w:hint="default" w:ascii="Times New Roman" w:hAnsi="Times New Roman" w:eastAsia="仿宋_GB2312" w:cs="Times New Roman"/>
          <w:color w:val="auto"/>
          <w:sz w:val="32"/>
          <w:szCs w:val="32"/>
          <w:highlight w:val="none"/>
        </w:rPr>
        <w:t>一是加强就业指导，开设《职业生涯规划》《就业指导》等课程，邀请企业专家、优秀校友开展就业讲座和经验分享会。二是搭建就业平台，加强与用人单位合作，</w:t>
      </w:r>
      <w:r>
        <w:rPr>
          <w:rFonts w:hint="default" w:ascii="Times New Roman" w:hAnsi="Times New Roman" w:eastAsia="仿宋_GB2312" w:cs="Times New Roman"/>
          <w:color w:val="auto"/>
          <w:sz w:val="32"/>
          <w:szCs w:val="32"/>
          <w:highlight w:val="none"/>
          <w:lang w:val="en-US" w:eastAsia="zh-CN"/>
        </w:rPr>
        <w:t>巩固校企合作</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订单式</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培养，</w:t>
      </w:r>
      <w:r>
        <w:rPr>
          <w:rFonts w:hint="default" w:ascii="Times New Roman" w:hAnsi="Times New Roman" w:eastAsia="仿宋_GB2312" w:cs="Times New Roman"/>
          <w:color w:val="auto"/>
          <w:sz w:val="32"/>
          <w:szCs w:val="32"/>
          <w:highlight w:val="none"/>
        </w:rPr>
        <w:t>举办校园招聘会、企业宣讲会等活动，建立就业信息服务平台，及时发布就业信息。三是开设</w:t>
      </w:r>
      <w:r>
        <w:rPr>
          <w:rFonts w:hint="eastAsia" w:ascii="Times New Roman" w:hAnsi="Times New Roman" w:eastAsia="仿宋_GB2312" w:cs="Times New Roman"/>
          <w:color w:val="auto"/>
          <w:sz w:val="32"/>
          <w:szCs w:val="32"/>
          <w:lang w:val="en-US" w:eastAsia="zh-CN"/>
        </w:rPr>
        <w:t>《大学生创新创业基础》课程</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组织学生参与创新创业竞赛和实践活动，提升创新创业能力。</w:t>
      </w:r>
    </w:p>
    <w:p w14:paraId="7A6A6F6C">
      <w:pPr>
        <w:pStyle w:val="2"/>
        <w:pageBreakBefore w:val="0"/>
        <w:widowControl w:val="0"/>
        <w:kinsoku/>
        <w:wordWrap/>
        <w:overflowPunct/>
        <w:topLinePunct w:val="0"/>
        <w:bidi w:val="0"/>
        <w:spacing w:before="0" w:after="0" w:line="576" w:lineRule="exact"/>
        <w:ind w:firstLine="640" w:firstLineChars="200"/>
        <w:textAlignment w:val="auto"/>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eastAsia="zh-CN"/>
        </w:rPr>
        <w:t>六</w:t>
      </w:r>
      <w:r>
        <w:rPr>
          <w:rFonts w:hint="default" w:ascii="黑体" w:hAnsi="黑体" w:eastAsia="黑体" w:cs="黑体"/>
          <w:b w:val="0"/>
          <w:bCs w:val="0"/>
          <w:color w:val="auto"/>
          <w:sz w:val="32"/>
          <w:szCs w:val="32"/>
          <w:highlight w:val="none"/>
        </w:rPr>
        <w:t>、依法办学及办学规范性情况</w:t>
      </w:r>
    </w:p>
    <w:p w14:paraId="5B7EC5CC">
      <w:pPr>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snapToGrid w:val="0"/>
          <w:color w:val="auto"/>
          <w:spacing w:val="4"/>
          <w:kern w:val="0"/>
          <w:sz w:val="32"/>
          <w:szCs w:val="32"/>
          <w:lang w:val="zh-CN"/>
        </w:rPr>
      </w:pPr>
      <w:r>
        <w:rPr>
          <w:rFonts w:hint="default" w:ascii="Times New Roman" w:hAnsi="Times New Roman" w:eastAsia="仿宋_GB2312" w:cs="Times New Roman"/>
          <w:color w:val="auto"/>
          <w:sz w:val="32"/>
          <w:szCs w:val="32"/>
          <w:highlight w:val="none"/>
          <w:lang w:val="en-US" w:eastAsia="zh-CN"/>
        </w:rPr>
        <w:t>项目自 2018 年招生以来，</w:t>
      </w:r>
      <w:r>
        <w:rPr>
          <w:rFonts w:ascii="Times New Roman" w:hAnsi="Times New Roman" w:eastAsia="仿宋_GB2312" w:cs="Times New Roman"/>
          <w:snapToGrid w:val="0"/>
          <w:color w:val="auto"/>
          <w:spacing w:val="4"/>
          <w:kern w:val="0"/>
          <w:sz w:val="32"/>
          <w:szCs w:val="32"/>
          <w:lang w:val="zh-CN"/>
        </w:rPr>
        <w:t>始终将依法依规办学作为根本准则。严格遵守《中华人民共和国高等教育法》《中外合作办学条例》及其实施办法等法律法规，认真执行《通化师范学院中外合作办学项目管理办法》</w:t>
      </w:r>
      <w:r>
        <w:rPr>
          <w:rFonts w:hint="eastAsia" w:ascii="Times New Roman" w:hAnsi="Times New Roman" w:eastAsia="仿宋_GB2312" w:cs="Times New Roman"/>
          <w:snapToGrid w:val="0"/>
          <w:color w:val="auto"/>
          <w:spacing w:val="4"/>
          <w:kern w:val="0"/>
          <w:sz w:val="32"/>
          <w:szCs w:val="32"/>
          <w:lang w:val="zh-CN"/>
        </w:rPr>
        <w:t>，项目运行合法合规</w:t>
      </w:r>
      <w:r>
        <w:rPr>
          <w:rFonts w:ascii="Times New Roman" w:hAnsi="Times New Roman" w:eastAsia="仿宋_GB2312" w:cs="Times New Roman"/>
          <w:snapToGrid w:val="0"/>
          <w:color w:val="auto"/>
          <w:spacing w:val="4"/>
          <w:kern w:val="0"/>
          <w:sz w:val="32"/>
          <w:szCs w:val="32"/>
          <w:lang w:val="zh-CN"/>
        </w:rPr>
        <w:t>。</w:t>
      </w:r>
    </w:p>
    <w:p w14:paraId="06D7CD4E">
      <w:pPr>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snapToGrid w:val="0"/>
          <w:color w:val="auto"/>
          <w:spacing w:val="4"/>
          <w:kern w:val="0"/>
          <w:sz w:val="32"/>
          <w:szCs w:val="32"/>
          <w:lang w:val="zh-CN"/>
        </w:rPr>
      </w:pPr>
      <w:r>
        <w:rPr>
          <w:rFonts w:hint="eastAsia" w:ascii="Times New Roman" w:hAnsi="Times New Roman" w:eastAsia="仿宋_GB2312" w:cs="Times New Roman"/>
          <w:snapToGrid w:val="0"/>
          <w:color w:val="auto"/>
          <w:spacing w:val="4"/>
          <w:kern w:val="0"/>
          <w:sz w:val="32"/>
          <w:szCs w:val="32"/>
          <w:lang w:val="zh-CN"/>
        </w:rPr>
        <w:t>项目</w:t>
      </w:r>
      <w:r>
        <w:rPr>
          <w:rFonts w:ascii="Times New Roman" w:hAnsi="Times New Roman" w:eastAsia="仿宋_GB2312" w:cs="Times New Roman"/>
          <w:snapToGrid w:val="0"/>
          <w:color w:val="auto"/>
          <w:spacing w:val="4"/>
          <w:kern w:val="0"/>
          <w:sz w:val="32"/>
          <w:szCs w:val="32"/>
          <w:lang w:val="zh-CN"/>
        </w:rPr>
        <w:t>在招生宣传、收费标准、教育教学、证书颁发等各个环节，均做到程序合规、公开透明、管理严格，项目招生纳入国家普通高等教育招生计划，严格执行教育部和吉林省的招生政策，录取过程公平、公正、公开。学校</w:t>
      </w:r>
      <w:r>
        <w:rPr>
          <w:rFonts w:hint="eastAsia" w:ascii="Times New Roman" w:hAnsi="Times New Roman" w:eastAsia="仿宋_GB2312" w:cs="Times New Roman"/>
          <w:snapToGrid w:val="0"/>
          <w:color w:val="auto"/>
          <w:spacing w:val="4"/>
          <w:kern w:val="0"/>
          <w:sz w:val="32"/>
          <w:szCs w:val="32"/>
          <w:lang w:val="zh-CN"/>
        </w:rPr>
        <w:t>具备</w:t>
      </w:r>
      <w:r>
        <w:rPr>
          <w:rFonts w:ascii="Times New Roman" w:hAnsi="Times New Roman" w:eastAsia="仿宋_GB2312" w:cs="Times New Roman"/>
          <w:snapToGrid w:val="0"/>
          <w:color w:val="auto"/>
          <w:spacing w:val="4"/>
          <w:kern w:val="0"/>
          <w:sz w:val="32"/>
          <w:szCs w:val="32"/>
          <w:lang w:val="zh-CN"/>
        </w:rPr>
        <w:t>完善的学籍管理制度，</w:t>
      </w:r>
      <w:r>
        <w:rPr>
          <w:rFonts w:hint="eastAsia" w:ascii="Times New Roman" w:hAnsi="Times New Roman" w:eastAsia="仿宋_GB2312" w:cs="Times New Roman"/>
          <w:snapToGrid w:val="0"/>
          <w:color w:val="auto"/>
          <w:spacing w:val="4"/>
          <w:kern w:val="0"/>
          <w:sz w:val="32"/>
          <w:szCs w:val="32"/>
          <w:lang w:val="zh-CN"/>
        </w:rPr>
        <w:t>学校具备完善的学籍管理制度，自新生入学注册起至毕业审核颁证，全程实施规范化管理。学生档案材料完备，学历学位信息均按时、准确报送至教育部学信网进行注册备案。</w:t>
      </w:r>
      <w:r>
        <w:rPr>
          <w:rFonts w:ascii="Times New Roman" w:hAnsi="Times New Roman" w:eastAsia="仿宋_GB2312" w:cs="Times New Roman"/>
          <w:snapToGrid w:val="0"/>
          <w:color w:val="auto"/>
          <w:spacing w:val="4"/>
          <w:kern w:val="0"/>
          <w:sz w:val="32"/>
          <w:szCs w:val="32"/>
          <w:lang w:val="zh-CN"/>
        </w:rPr>
        <w:t>项目无超规模招生、擅自变更外方合作院校、擅自变更培养模式等违规行为，无中介参与招生录取及人才培养核心环节，无违规使用境外教材等情况</w:t>
      </w:r>
      <w:r>
        <w:rPr>
          <w:rFonts w:hint="eastAsia" w:ascii="Times New Roman" w:hAnsi="Times New Roman" w:eastAsia="仿宋_GB2312" w:cs="Times New Roman"/>
          <w:snapToGrid w:val="0"/>
          <w:color w:val="auto"/>
          <w:spacing w:val="4"/>
          <w:kern w:val="0"/>
          <w:sz w:val="32"/>
          <w:szCs w:val="32"/>
          <w:lang w:val="zh-CN"/>
        </w:rPr>
        <w:t>。</w:t>
      </w:r>
    </w:p>
    <w:p w14:paraId="73315FD0">
      <w:pPr>
        <w:keepLines w:val="0"/>
        <w:pageBreakBefore w:val="0"/>
        <w:widowControl w:val="0"/>
        <w:kinsoku/>
        <w:wordWrap/>
        <w:overflowPunct w:val="0"/>
        <w:topLinePunct w:val="0"/>
        <w:autoSpaceDE w:val="0"/>
        <w:autoSpaceDN w:val="0"/>
        <w:bidi w:val="0"/>
        <w:adjustRightInd w:val="0"/>
        <w:snapToGrid w:val="0"/>
        <w:spacing w:line="576" w:lineRule="exact"/>
        <w:ind w:firstLine="656"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napToGrid w:val="0"/>
          <w:color w:val="auto"/>
          <w:spacing w:val="4"/>
          <w:kern w:val="0"/>
          <w:sz w:val="32"/>
          <w:szCs w:val="32"/>
          <w:lang w:val="zh-CN"/>
        </w:rPr>
        <w:t xml:space="preserve">合作双方均严格履行合作办学协议，确保办学行为的规范性和合法性，维护了学生权益。 </w:t>
      </w:r>
      <w:r>
        <w:rPr>
          <w:rFonts w:hint="eastAsia" w:ascii="Times New Roman" w:hAnsi="Times New Roman" w:eastAsia="仿宋_GB2312" w:cs="Times New Roman"/>
          <w:color w:val="auto"/>
          <w:sz w:val="32"/>
          <w:szCs w:val="32"/>
          <w:highlight w:val="none"/>
          <w:lang w:val="en-US" w:eastAsia="zh-CN"/>
        </w:rPr>
        <w:t xml:space="preserve"> </w:t>
      </w:r>
    </w:p>
    <w:p w14:paraId="64DFDE80">
      <w:pPr>
        <w:pStyle w:val="2"/>
        <w:pageBreakBefore w:val="0"/>
        <w:widowControl w:val="0"/>
        <w:kinsoku/>
        <w:wordWrap/>
        <w:overflowPunct/>
        <w:topLinePunct w:val="0"/>
        <w:bidi w:val="0"/>
        <w:spacing w:before="0" w:after="0" w:line="576" w:lineRule="exact"/>
        <w:ind w:firstLine="640" w:firstLineChars="200"/>
        <w:textAlignment w:val="auto"/>
        <w:rPr>
          <w:rFonts w:hint="default"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七</w:t>
      </w:r>
      <w:r>
        <w:rPr>
          <w:rFonts w:hint="default" w:ascii="黑体" w:hAnsi="黑体" w:eastAsia="黑体" w:cs="黑体"/>
          <w:b w:val="0"/>
          <w:bCs w:val="0"/>
          <w:color w:val="auto"/>
          <w:sz w:val="32"/>
          <w:szCs w:val="32"/>
          <w:highlight w:val="none"/>
        </w:rPr>
        <w:t>、</w:t>
      </w:r>
      <w:r>
        <w:rPr>
          <w:rFonts w:hint="default" w:ascii="黑体" w:hAnsi="黑体" w:eastAsia="黑体" w:cs="黑体"/>
          <w:b w:val="0"/>
          <w:bCs w:val="0"/>
          <w:color w:val="auto"/>
          <w:sz w:val="32"/>
          <w:szCs w:val="32"/>
          <w:highlight w:val="none"/>
          <w:lang w:val="en-US" w:eastAsia="zh-CN"/>
        </w:rPr>
        <w:t>合作办学辐射成果</w:t>
      </w:r>
    </w:p>
    <w:p w14:paraId="2EA7436C">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lang w:eastAsia="zh-CN"/>
        </w:rPr>
      </w:pPr>
      <w:r>
        <w:rPr>
          <w:rFonts w:hint="default" w:ascii="楷体_GB2312" w:hAnsi="楷体_GB2312" w:eastAsia="楷体_GB2312" w:cs="楷体_GB2312"/>
          <w:b w:val="0"/>
          <w:bCs w:val="0"/>
          <w:color w:val="auto"/>
          <w:sz w:val="32"/>
          <w:szCs w:val="32"/>
          <w:highlight w:val="none"/>
        </w:rPr>
        <w:t>（一）赋能人才培养</w:t>
      </w:r>
    </w:p>
    <w:p w14:paraId="5BDFD3D7">
      <w:pPr>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形成四大办学特色</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一是国际化特色突出，中外师资共教共研</w:t>
      </w:r>
      <w:r>
        <w:rPr>
          <w:rFonts w:hint="eastAsia" w:ascii="Times New Roman" w:hAnsi="Times New Roman" w:eastAsia="仿宋_GB2312" w:cs="Times New Roman"/>
          <w:color w:val="auto"/>
          <w:sz w:val="32"/>
          <w:szCs w:val="32"/>
          <w:highlight w:val="none"/>
          <w:lang w:val="en-US" w:eastAsia="zh-CN"/>
        </w:rPr>
        <w:t>，实现优质教育资源深度融合</w:t>
      </w:r>
      <w:r>
        <w:rPr>
          <w:rFonts w:hint="default" w:ascii="Times New Roman" w:hAnsi="Times New Roman" w:eastAsia="仿宋_GB2312" w:cs="Times New Roman"/>
          <w:color w:val="auto"/>
          <w:sz w:val="32"/>
          <w:szCs w:val="32"/>
          <w:highlight w:val="none"/>
          <w:lang w:val="en-US" w:eastAsia="zh-CN"/>
        </w:rPr>
        <w:t>；二是培养模式创新，构建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三结合</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课程体系，推行多元培养</w:t>
      </w:r>
      <w:r>
        <w:rPr>
          <w:rFonts w:hint="eastAsia" w:ascii="Times New Roman" w:hAnsi="Times New Roman" w:eastAsia="仿宋_GB2312" w:cs="Times New Roman"/>
          <w:color w:val="auto"/>
          <w:sz w:val="32"/>
          <w:szCs w:val="32"/>
          <w:highlight w:val="none"/>
          <w:lang w:val="en-US" w:eastAsia="zh-CN"/>
        </w:rPr>
        <w:t>，提升学生综合能力</w:t>
      </w:r>
      <w:r>
        <w:rPr>
          <w:rFonts w:hint="default" w:ascii="Times New Roman" w:hAnsi="Times New Roman" w:eastAsia="仿宋_GB2312" w:cs="Times New Roman"/>
          <w:color w:val="auto"/>
          <w:sz w:val="32"/>
          <w:szCs w:val="32"/>
          <w:highlight w:val="none"/>
          <w:lang w:val="en-US" w:eastAsia="zh-CN"/>
        </w:rPr>
        <w:t>；三是党建思政深度融入，挖掘课程思政元素，强化价值引领；四是管理机制科学高效，建立分层分级管理体系，健全质量监控机制</w:t>
      </w:r>
      <w:r>
        <w:rPr>
          <w:rFonts w:hint="eastAsia" w:ascii="Times New Roman" w:hAnsi="Times New Roman" w:eastAsia="仿宋_GB2312" w:cs="Times New Roman"/>
          <w:color w:val="auto"/>
          <w:sz w:val="32"/>
          <w:szCs w:val="32"/>
          <w:highlight w:val="none"/>
          <w:lang w:val="en-US" w:eastAsia="zh-CN"/>
        </w:rPr>
        <w:t>，保障项目规范有序运行</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 xml:space="preserve">  </w:t>
      </w:r>
    </w:p>
    <w:p w14:paraId="208A9038">
      <w:pPr>
        <w:pStyle w:val="3"/>
        <w:pageBreakBefore w:val="0"/>
        <w:widowControl w:val="0"/>
        <w:kinsoku/>
        <w:wordWrap/>
        <w:overflowPunct/>
        <w:topLinePunct w:val="0"/>
        <w:bidi w:val="0"/>
        <w:spacing w:before="0" w:after="0" w:line="576" w:lineRule="exact"/>
        <w:ind w:left="0" w:leftChars="0" w:firstLine="640" w:firstLineChars="200"/>
        <w:textAlignment w:val="auto"/>
        <w:rPr>
          <w:rFonts w:hint="default" w:ascii="楷体_GB2312" w:hAnsi="楷体_GB2312" w:eastAsia="楷体_GB2312" w:cs="楷体_GB2312"/>
          <w:b w:val="0"/>
          <w:bCs w:val="0"/>
          <w:color w:val="auto"/>
          <w:sz w:val="32"/>
          <w:szCs w:val="32"/>
          <w:highlight w:val="none"/>
        </w:rPr>
      </w:pPr>
      <w:r>
        <w:rPr>
          <w:rFonts w:hint="default" w:ascii="楷体_GB2312" w:hAnsi="楷体_GB2312" w:eastAsia="楷体_GB2312" w:cs="楷体_GB2312"/>
          <w:b w:val="0"/>
          <w:bCs w:val="0"/>
          <w:color w:val="auto"/>
          <w:sz w:val="32"/>
          <w:szCs w:val="32"/>
          <w:highlight w:val="none"/>
        </w:rPr>
        <w:t>（二）社会成效</w:t>
      </w:r>
    </w:p>
    <w:p w14:paraId="4EE16570">
      <w:pPr>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输送优质人才</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已培养 3 届毕业生，</w:t>
      </w:r>
      <w:r>
        <w:rPr>
          <w:rFonts w:hint="eastAsia" w:ascii="Times New Roman" w:hAnsi="Times New Roman" w:eastAsia="仿宋_GB2312" w:cs="Times New Roman"/>
          <w:color w:val="auto"/>
          <w:sz w:val="32"/>
          <w:szCs w:val="32"/>
          <w:highlight w:val="none"/>
          <w:lang w:val="en-US" w:eastAsia="zh-CN"/>
        </w:rPr>
        <w:t>多数</w:t>
      </w:r>
      <w:r>
        <w:rPr>
          <w:rFonts w:hint="default" w:ascii="Times New Roman" w:hAnsi="Times New Roman" w:eastAsia="仿宋_GB2312" w:cs="Times New Roman"/>
          <w:color w:val="auto"/>
          <w:sz w:val="32"/>
          <w:szCs w:val="32"/>
          <w:highlight w:val="none"/>
          <w:lang w:val="en-US" w:eastAsia="zh-CN"/>
        </w:rPr>
        <w:t>留在吉林及周边地区就业创业，为地方基础教育、生物产业、科研事业输送大批人才，带动区域经济发展与就业。</w:t>
      </w:r>
    </w:p>
    <w:p w14:paraId="329F2EAC">
      <w:pPr>
        <w:keepLines w:val="0"/>
        <w:pageBreakBefore w:val="0"/>
        <w:widowControl w:val="0"/>
        <w:kinsoku/>
        <w:wordWrap/>
        <w:overflowPunct w:val="0"/>
        <w:topLinePunct w:val="0"/>
        <w:autoSpaceDE w:val="0"/>
        <w:autoSpaceDN w:val="0"/>
        <w:bidi w:val="0"/>
        <w:adjustRightInd w:val="0"/>
        <w:snapToGrid w:val="0"/>
        <w:spacing w:line="576" w:lineRule="exact"/>
        <w:ind w:firstLine="640" w:firstLineChars="200"/>
        <w:jc w:val="both"/>
        <w:textAlignment w:val="baseline"/>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提升学校实力</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引进国外优质教育资源与先进办学理念，促进生物科学专业国际化建设，提升学校整体办学水平与社会影响力。</w:t>
      </w:r>
    </w:p>
    <w:p w14:paraId="6C7AA91C">
      <w:pPr>
        <w:keepNext w:val="0"/>
        <w:keepLines w:val="0"/>
        <w:pageBreakBefore w:val="0"/>
        <w:wordWrap/>
        <w:overflowPunct/>
        <w:topLinePunct w:val="0"/>
        <w:bidi w:val="0"/>
        <w:spacing w:line="576" w:lineRule="exact"/>
        <w:ind w:firstLine="5440" w:firstLineChars="1700"/>
        <w:rPr>
          <w:rFonts w:hint="default" w:ascii="Times New Roman" w:hAnsi="Times New Roman" w:eastAsia="仿宋_GB2312" w:cs="Times New Roman"/>
          <w:color w:val="auto"/>
          <w:sz w:val="32"/>
          <w:szCs w:val="32"/>
          <w:highlight w:val="none"/>
          <w:lang w:val="en-US" w:eastAsia="zh-CN"/>
        </w:rPr>
      </w:pPr>
    </w:p>
    <w:p w14:paraId="0F3794E9">
      <w:pPr>
        <w:keepNext w:val="0"/>
        <w:keepLines w:val="0"/>
        <w:pageBreakBefore w:val="0"/>
        <w:wordWrap/>
        <w:overflowPunct/>
        <w:topLinePunct w:val="0"/>
        <w:bidi w:val="0"/>
        <w:spacing w:line="576" w:lineRule="exact"/>
        <w:ind w:firstLine="5440" w:firstLineChars="17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通化师范学院</w:t>
      </w:r>
    </w:p>
    <w:p w14:paraId="777E5A2B">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大标宋简体" w:cs="Times New Roman"/>
          <w:color w:val="auto"/>
          <w:sz w:val="44"/>
          <w:szCs w:val="44"/>
          <w:highlight w:val="none"/>
          <w:lang w:val="en-US" w:eastAsia="zh-CN"/>
        </w:rPr>
        <w:sectPr>
          <w:pgSz w:w="11906" w:h="16838"/>
          <w:pgMar w:top="2551" w:right="1701" w:bottom="2268" w:left="1701" w:header="851" w:footer="992" w:gutter="0"/>
          <w:pgNumType w:fmt="decimal"/>
          <w:cols w:space="425" w:num="1"/>
          <w:docGrid w:type="lines" w:linePitch="312" w:charSpace="0"/>
        </w:sect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2025年12月29日</w:t>
      </w:r>
    </w:p>
    <w:p w14:paraId="1F295B5C">
      <w:pPr>
        <w:pageBreakBefore w:val="0"/>
        <w:widowControl w:val="0"/>
        <w:numPr>
          <w:ilvl w:val="0"/>
          <w:numId w:val="0"/>
        </w:numPr>
        <w:kinsoku/>
        <w:wordWrap/>
        <w:overflowPunct/>
        <w:topLinePunct w:val="0"/>
        <w:bidi w:val="0"/>
        <w:spacing w:line="576" w:lineRule="exact"/>
        <w:textAlignment w:val="auto"/>
        <w:rPr>
          <w:rFonts w:hint="default" w:ascii="Times New Roman" w:hAnsi="Times New Roman" w:eastAsia="仿宋_GB2312" w:cs="Times New Roman"/>
          <w:color w:val="auto"/>
          <w:sz w:val="32"/>
          <w:szCs w:val="32"/>
          <w:highlight w:val="none"/>
          <w:lang w:val="en-US" w:eastAsia="zh-CN"/>
        </w:rPr>
      </w:pPr>
    </w:p>
    <w:sectPr>
      <w:footerReference r:id="rId3" w:type="default"/>
      <w:pgSz w:w="11906" w:h="16838"/>
      <w:pgMar w:top="2551" w:right="1701" w:bottom="2268"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23964B-E41F-4381-B45D-8865025756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大标宋简体">
    <w:panose1 w:val="02000000000000000000"/>
    <w:charset w:val="86"/>
    <w:family w:val="auto"/>
    <w:pitch w:val="default"/>
    <w:sig w:usb0="A00002BF" w:usb1="184F6CFA" w:usb2="00000012" w:usb3="00000000" w:csb0="00040001" w:csb1="00000000"/>
    <w:embedRegular r:id="rId2" w:fontKey="{02E71254-15A6-4CAB-B2A3-07B96BDBD694}"/>
  </w:font>
  <w:font w:name="仿宋_GB2312">
    <w:panose1 w:val="02010609030101010101"/>
    <w:charset w:val="86"/>
    <w:family w:val="auto"/>
    <w:pitch w:val="default"/>
    <w:sig w:usb0="00000001" w:usb1="080E0000" w:usb2="00000000" w:usb3="00000000" w:csb0="00040000" w:csb1="00000000"/>
    <w:embedRegular r:id="rId3" w:fontKey="{3EBB7FCA-15E5-4983-9406-D0A22DE507D9}"/>
  </w:font>
  <w:font w:name="楷体_GB2312">
    <w:panose1 w:val="02010609030101010101"/>
    <w:charset w:val="86"/>
    <w:family w:val="auto"/>
    <w:pitch w:val="default"/>
    <w:sig w:usb0="00000001" w:usb1="080E0000" w:usb2="00000000" w:usb3="00000000" w:csb0="00040000" w:csb1="00000000"/>
    <w:embedRegular r:id="rId4" w:fontKey="{52B6DFC9-AC98-454C-B4EA-A367947741A3}"/>
  </w:font>
  <w:font w:name="WPSEMBED6">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44B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EEAC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FEEAC1">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xNTBlYTljNGMzZDYyZWYyY2EwMGE3MWQ4NDlkZjAifQ=="/>
  </w:docVars>
  <w:rsids>
    <w:rsidRoot w:val="00EF37C1"/>
    <w:rsid w:val="00051891"/>
    <w:rsid w:val="00092126"/>
    <w:rsid w:val="000E36A3"/>
    <w:rsid w:val="000E6BC9"/>
    <w:rsid w:val="00121267"/>
    <w:rsid w:val="00153B30"/>
    <w:rsid w:val="00201C5D"/>
    <w:rsid w:val="00236087"/>
    <w:rsid w:val="002654B8"/>
    <w:rsid w:val="002E4380"/>
    <w:rsid w:val="00302BB7"/>
    <w:rsid w:val="003626AC"/>
    <w:rsid w:val="00370BBE"/>
    <w:rsid w:val="003772A6"/>
    <w:rsid w:val="00380821"/>
    <w:rsid w:val="003A2099"/>
    <w:rsid w:val="003D0894"/>
    <w:rsid w:val="00405870"/>
    <w:rsid w:val="004E2C66"/>
    <w:rsid w:val="004F03EA"/>
    <w:rsid w:val="00600FFF"/>
    <w:rsid w:val="00792F93"/>
    <w:rsid w:val="007C1EEA"/>
    <w:rsid w:val="007E73DE"/>
    <w:rsid w:val="007F6204"/>
    <w:rsid w:val="00832913"/>
    <w:rsid w:val="00847F66"/>
    <w:rsid w:val="00854990"/>
    <w:rsid w:val="008E2ADA"/>
    <w:rsid w:val="009179E4"/>
    <w:rsid w:val="00923113"/>
    <w:rsid w:val="0097693D"/>
    <w:rsid w:val="00984F5C"/>
    <w:rsid w:val="00990C3D"/>
    <w:rsid w:val="009A27CB"/>
    <w:rsid w:val="009C0B5F"/>
    <w:rsid w:val="009C5601"/>
    <w:rsid w:val="009E3A12"/>
    <w:rsid w:val="00A02CD6"/>
    <w:rsid w:val="00A83AE4"/>
    <w:rsid w:val="00A91B53"/>
    <w:rsid w:val="00A95B90"/>
    <w:rsid w:val="00A96EB2"/>
    <w:rsid w:val="00AB6652"/>
    <w:rsid w:val="00AD2C2E"/>
    <w:rsid w:val="00B47517"/>
    <w:rsid w:val="00B914F3"/>
    <w:rsid w:val="00C522A6"/>
    <w:rsid w:val="00D03BAE"/>
    <w:rsid w:val="00D24F95"/>
    <w:rsid w:val="00DE72B6"/>
    <w:rsid w:val="00EF37C1"/>
    <w:rsid w:val="00F21296"/>
    <w:rsid w:val="00F331D1"/>
    <w:rsid w:val="00F7489B"/>
    <w:rsid w:val="00F77275"/>
    <w:rsid w:val="00F8376B"/>
    <w:rsid w:val="00F94863"/>
    <w:rsid w:val="00FA621C"/>
    <w:rsid w:val="022A60E6"/>
    <w:rsid w:val="02E32E12"/>
    <w:rsid w:val="03C144EA"/>
    <w:rsid w:val="05F17CC7"/>
    <w:rsid w:val="06587E4E"/>
    <w:rsid w:val="06FE3D60"/>
    <w:rsid w:val="089970BF"/>
    <w:rsid w:val="08D54155"/>
    <w:rsid w:val="09A359E9"/>
    <w:rsid w:val="09FE2FFD"/>
    <w:rsid w:val="0A8E69B5"/>
    <w:rsid w:val="0D5E59FB"/>
    <w:rsid w:val="0DDC56BD"/>
    <w:rsid w:val="0E0E1260"/>
    <w:rsid w:val="0EB002A0"/>
    <w:rsid w:val="0F0319C0"/>
    <w:rsid w:val="0FA45C75"/>
    <w:rsid w:val="0FBC2E68"/>
    <w:rsid w:val="10234D99"/>
    <w:rsid w:val="10DB57FB"/>
    <w:rsid w:val="10FF3AEF"/>
    <w:rsid w:val="114477FA"/>
    <w:rsid w:val="119256E2"/>
    <w:rsid w:val="134355BB"/>
    <w:rsid w:val="13B5494D"/>
    <w:rsid w:val="13F8212B"/>
    <w:rsid w:val="15D26070"/>
    <w:rsid w:val="15EC04AB"/>
    <w:rsid w:val="16276F91"/>
    <w:rsid w:val="1638549E"/>
    <w:rsid w:val="163E10D5"/>
    <w:rsid w:val="164A7C92"/>
    <w:rsid w:val="16DF483F"/>
    <w:rsid w:val="184D326B"/>
    <w:rsid w:val="18BE3FCA"/>
    <w:rsid w:val="19FE4428"/>
    <w:rsid w:val="1A096E37"/>
    <w:rsid w:val="1D306EC6"/>
    <w:rsid w:val="1EDD3086"/>
    <w:rsid w:val="1F381E3E"/>
    <w:rsid w:val="1F5B4ADE"/>
    <w:rsid w:val="200F0143"/>
    <w:rsid w:val="20F7588D"/>
    <w:rsid w:val="21BF5721"/>
    <w:rsid w:val="22665141"/>
    <w:rsid w:val="24DB22AE"/>
    <w:rsid w:val="25EB57C5"/>
    <w:rsid w:val="26856104"/>
    <w:rsid w:val="26B859EC"/>
    <w:rsid w:val="27087379"/>
    <w:rsid w:val="27395A70"/>
    <w:rsid w:val="27803DAD"/>
    <w:rsid w:val="28592D7D"/>
    <w:rsid w:val="28ED1900"/>
    <w:rsid w:val="2B42205F"/>
    <w:rsid w:val="2CAA11CE"/>
    <w:rsid w:val="2FF71A92"/>
    <w:rsid w:val="300B6073"/>
    <w:rsid w:val="30510ACD"/>
    <w:rsid w:val="305B3490"/>
    <w:rsid w:val="31F83C49"/>
    <w:rsid w:val="33523D0B"/>
    <w:rsid w:val="33BD4DF2"/>
    <w:rsid w:val="34442374"/>
    <w:rsid w:val="356E15A4"/>
    <w:rsid w:val="36615546"/>
    <w:rsid w:val="37CD04CB"/>
    <w:rsid w:val="39DB2F5B"/>
    <w:rsid w:val="3AF83DB9"/>
    <w:rsid w:val="3B1A4085"/>
    <w:rsid w:val="3C2305DD"/>
    <w:rsid w:val="3E7D3346"/>
    <w:rsid w:val="401713D4"/>
    <w:rsid w:val="402A49A3"/>
    <w:rsid w:val="406A7B9A"/>
    <w:rsid w:val="40CA7A1A"/>
    <w:rsid w:val="41434B73"/>
    <w:rsid w:val="42A33B1C"/>
    <w:rsid w:val="42AA0C3C"/>
    <w:rsid w:val="447366FA"/>
    <w:rsid w:val="459D0CC6"/>
    <w:rsid w:val="45BC2E2C"/>
    <w:rsid w:val="463C5FED"/>
    <w:rsid w:val="46EF1783"/>
    <w:rsid w:val="47F371B4"/>
    <w:rsid w:val="491621F6"/>
    <w:rsid w:val="4A492D6B"/>
    <w:rsid w:val="4BD27220"/>
    <w:rsid w:val="4C7F348C"/>
    <w:rsid w:val="4E7B2C0F"/>
    <w:rsid w:val="50247C32"/>
    <w:rsid w:val="504E079C"/>
    <w:rsid w:val="509E36C9"/>
    <w:rsid w:val="51276734"/>
    <w:rsid w:val="51490046"/>
    <w:rsid w:val="515F60F0"/>
    <w:rsid w:val="51B55619"/>
    <w:rsid w:val="51D00556"/>
    <w:rsid w:val="52D823A3"/>
    <w:rsid w:val="54D5511D"/>
    <w:rsid w:val="561B5653"/>
    <w:rsid w:val="58260330"/>
    <w:rsid w:val="58497766"/>
    <w:rsid w:val="59B1571D"/>
    <w:rsid w:val="59C25FA1"/>
    <w:rsid w:val="5ABF7A6C"/>
    <w:rsid w:val="5CA2740B"/>
    <w:rsid w:val="5D254161"/>
    <w:rsid w:val="5E027B0D"/>
    <w:rsid w:val="5FCC6D49"/>
    <w:rsid w:val="60876E48"/>
    <w:rsid w:val="60B52B55"/>
    <w:rsid w:val="611C2134"/>
    <w:rsid w:val="679631B0"/>
    <w:rsid w:val="67D40DE2"/>
    <w:rsid w:val="68170927"/>
    <w:rsid w:val="683B5593"/>
    <w:rsid w:val="68AC4E83"/>
    <w:rsid w:val="69BA15C7"/>
    <w:rsid w:val="6B570828"/>
    <w:rsid w:val="6B6C23AF"/>
    <w:rsid w:val="6C53360D"/>
    <w:rsid w:val="6D050DAB"/>
    <w:rsid w:val="6DB5680E"/>
    <w:rsid w:val="6DF517EE"/>
    <w:rsid w:val="6F8D2900"/>
    <w:rsid w:val="71503FD8"/>
    <w:rsid w:val="71A9119F"/>
    <w:rsid w:val="727574DB"/>
    <w:rsid w:val="73364BF3"/>
    <w:rsid w:val="734B0319"/>
    <w:rsid w:val="734D525A"/>
    <w:rsid w:val="73B70DDD"/>
    <w:rsid w:val="73D87156"/>
    <w:rsid w:val="742B5D96"/>
    <w:rsid w:val="74892363"/>
    <w:rsid w:val="75E00B7F"/>
    <w:rsid w:val="7634629A"/>
    <w:rsid w:val="769939E2"/>
    <w:rsid w:val="78E711BC"/>
    <w:rsid w:val="7BAC0722"/>
    <w:rsid w:val="7CC12815"/>
    <w:rsid w:val="7CF15B18"/>
    <w:rsid w:val="7D6733BC"/>
    <w:rsid w:val="7DB6545E"/>
    <w:rsid w:val="7EAD2231"/>
    <w:rsid w:val="7F863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20" w:after="120" w:line="400" w:lineRule="exact"/>
      <w:outlineLvl w:val="0"/>
    </w:pPr>
    <w:rPr>
      <w:b/>
      <w:bCs/>
      <w:kern w:val="44"/>
      <w:sz w:val="28"/>
      <w:szCs w:val="44"/>
    </w:rPr>
  </w:style>
  <w:style w:type="paragraph" w:styleId="3">
    <w:name w:val="heading 2"/>
    <w:basedOn w:val="1"/>
    <w:next w:val="1"/>
    <w:qFormat/>
    <w:uiPriority w:val="9"/>
    <w:pPr>
      <w:keepNext/>
      <w:keepLines/>
      <w:spacing w:before="60" w:after="60" w:line="400" w:lineRule="exact"/>
      <w:ind w:left="200" w:leftChars="200"/>
      <w:outlineLvl w:val="1"/>
    </w:pPr>
    <w:rPr>
      <w:rFonts w:ascii="Calibri Light" w:hAnsi="Calibri Light" w:eastAsia="宋体" w:cs="Times New Roman"/>
      <w:b/>
      <w:bCs/>
      <w:sz w:val="24"/>
      <w:szCs w:val="32"/>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alloon Text"/>
    <w:basedOn w:val="1"/>
    <w:link w:val="26"/>
    <w:autoRedefine/>
    <w:semiHidden/>
    <w:unhideWhenUsed/>
    <w:qFormat/>
    <w:uiPriority w:val="99"/>
    <w:rPr>
      <w:sz w:val="18"/>
      <w:szCs w:val="18"/>
    </w:rPr>
  </w:style>
  <w:style w:type="paragraph" w:styleId="6">
    <w:name w:val="footer"/>
    <w:basedOn w:val="1"/>
    <w:link w:val="16"/>
    <w:autoRedefine/>
    <w:semiHidden/>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jc w:val="left"/>
    </w:pPr>
    <w:rPr>
      <w:rFonts w:cs="Times New Roman"/>
      <w:kern w:val="0"/>
      <w:sz w:val="24"/>
    </w:rPr>
  </w:style>
  <w:style w:type="character" w:styleId="11">
    <w:name w:val="FollowedHyperlink"/>
    <w:basedOn w:val="10"/>
    <w:autoRedefine/>
    <w:semiHidden/>
    <w:unhideWhenUsed/>
    <w:qFormat/>
    <w:uiPriority w:val="99"/>
    <w:rPr>
      <w:color w:val="333333"/>
      <w:u w:val="none"/>
    </w:rPr>
  </w:style>
  <w:style w:type="character" w:styleId="12">
    <w:name w:val="Emphasis"/>
    <w:basedOn w:val="10"/>
    <w:autoRedefine/>
    <w:qFormat/>
    <w:uiPriority w:val="20"/>
  </w:style>
  <w:style w:type="character" w:styleId="13">
    <w:name w:val="Hyperlink"/>
    <w:basedOn w:val="10"/>
    <w:autoRedefine/>
    <w:semiHidden/>
    <w:unhideWhenUsed/>
    <w:qFormat/>
    <w:uiPriority w:val="99"/>
    <w:rPr>
      <w:color w:val="333333"/>
      <w:u w:val="none"/>
    </w:rPr>
  </w:style>
  <w:style w:type="paragraph" w:customStyle="1" w:styleId="14">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页眉 Char"/>
    <w:basedOn w:val="10"/>
    <w:link w:val="7"/>
    <w:autoRedefine/>
    <w:semiHidden/>
    <w:qFormat/>
    <w:uiPriority w:val="99"/>
    <w:rPr>
      <w:sz w:val="18"/>
      <w:szCs w:val="18"/>
    </w:rPr>
  </w:style>
  <w:style w:type="character" w:customStyle="1" w:styleId="16">
    <w:name w:val="页脚 Char"/>
    <w:basedOn w:val="10"/>
    <w:link w:val="6"/>
    <w:autoRedefine/>
    <w:semiHidden/>
    <w:qFormat/>
    <w:uiPriority w:val="99"/>
    <w:rPr>
      <w:sz w:val="18"/>
      <w:szCs w:val="18"/>
    </w:rPr>
  </w:style>
  <w:style w:type="character" w:customStyle="1" w:styleId="17">
    <w:name w:val="vie"/>
    <w:basedOn w:val="10"/>
    <w:autoRedefine/>
    <w:qFormat/>
    <w:uiPriority w:val="0"/>
  </w:style>
  <w:style w:type="character" w:customStyle="1" w:styleId="18">
    <w:name w:val="time"/>
    <w:basedOn w:val="10"/>
    <w:autoRedefine/>
    <w:qFormat/>
    <w:uiPriority w:val="0"/>
  </w:style>
  <w:style w:type="character" w:customStyle="1" w:styleId="19">
    <w:name w:val="time1"/>
    <w:basedOn w:val="10"/>
    <w:autoRedefine/>
    <w:qFormat/>
    <w:uiPriority w:val="0"/>
    <w:rPr>
      <w:color w:val="545454"/>
      <w:sz w:val="16"/>
      <w:szCs w:val="16"/>
    </w:rPr>
  </w:style>
  <w:style w:type="paragraph" w:customStyle="1" w:styleId="20">
    <w:name w:val="_Style 15"/>
    <w:basedOn w:val="1"/>
    <w:next w:val="1"/>
    <w:autoRedefine/>
    <w:qFormat/>
    <w:uiPriority w:val="0"/>
    <w:pPr>
      <w:pBdr>
        <w:bottom w:val="single" w:color="auto" w:sz="6" w:space="1"/>
      </w:pBdr>
      <w:jc w:val="center"/>
    </w:pPr>
    <w:rPr>
      <w:rFonts w:ascii="Arial" w:eastAsia="宋体"/>
      <w:vanish/>
      <w:sz w:val="16"/>
    </w:rPr>
  </w:style>
  <w:style w:type="paragraph" w:customStyle="1" w:styleId="21">
    <w:name w:val="_Style 16"/>
    <w:basedOn w:val="1"/>
    <w:next w:val="1"/>
    <w:autoRedefine/>
    <w:qFormat/>
    <w:uiPriority w:val="0"/>
    <w:pPr>
      <w:pBdr>
        <w:top w:val="single" w:color="auto" w:sz="6" w:space="1"/>
      </w:pBdr>
      <w:jc w:val="center"/>
    </w:pPr>
    <w:rPr>
      <w:rFonts w:ascii="Arial" w:eastAsia="宋体"/>
      <w:vanish/>
      <w:sz w:val="16"/>
    </w:rPr>
  </w:style>
  <w:style w:type="paragraph" w:customStyle="1" w:styleId="22">
    <w:name w:val="_Style 17"/>
    <w:basedOn w:val="1"/>
    <w:next w:val="1"/>
    <w:autoRedefine/>
    <w:qFormat/>
    <w:uiPriority w:val="0"/>
    <w:pPr>
      <w:pBdr>
        <w:bottom w:val="single" w:color="auto" w:sz="6" w:space="1"/>
      </w:pBdr>
      <w:jc w:val="center"/>
    </w:pPr>
    <w:rPr>
      <w:rFonts w:ascii="Arial" w:eastAsia="宋体"/>
      <w:vanish/>
      <w:sz w:val="16"/>
    </w:rPr>
  </w:style>
  <w:style w:type="paragraph" w:customStyle="1" w:styleId="23">
    <w:name w:val="_Style 18"/>
    <w:basedOn w:val="1"/>
    <w:next w:val="1"/>
    <w:autoRedefine/>
    <w:qFormat/>
    <w:uiPriority w:val="0"/>
    <w:pPr>
      <w:pBdr>
        <w:top w:val="single" w:color="auto" w:sz="6" w:space="1"/>
      </w:pBdr>
      <w:jc w:val="center"/>
    </w:pPr>
    <w:rPr>
      <w:rFonts w:ascii="Arial" w:eastAsia="宋体"/>
      <w:vanish/>
      <w:sz w:val="16"/>
    </w:rPr>
  </w:style>
  <w:style w:type="paragraph" w:customStyle="1" w:styleId="24">
    <w:name w:val="_Style 19"/>
    <w:basedOn w:val="1"/>
    <w:next w:val="1"/>
    <w:autoRedefine/>
    <w:qFormat/>
    <w:uiPriority w:val="0"/>
    <w:pPr>
      <w:pBdr>
        <w:bottom w:val="single" w:color="auto" w:sz="6" w:space="1"/>
      </w:pBdr>
      <w:jc w:val="center"/>
    </w:pPr>
    <w:rPr>
      <w:rFonts w:ascii="Arial" w:eastAsia="宋体"/>
      <w:vanish/>
      <w:sz w:val="16"/>
    </w:rPr>
  </w:style>
  <w:style w:type="paragraph" w:customStyle="1" w:styleId="25">
    <w:name w:val="_Style 20"/>
    <w:basedOn w:val="1"/>
    <w:next w:val="1"/>
    <w:autoRedefine/>
    <w:qFormat/>
    <w:uiPriority w:val="0"/>
    <w:pPr>
      <w:pBdr>
        <w:top w:val="single" w:color="auto" w:sz="6" w:space="1"/>
      </w:pBdr>
      <w:jc w:val="center"/>
    </w:pPr>
    <w:rPr>
      <w:rFonts w:ascii="Arial" w:eastAsia="宋体"/>
      <w:vanish/>
      <w:sz w:val="16"/>
    </w:rPr>
  </w:style>
  <w:style w:type="character" w:customStyle="1" w:styleId="26">
    <w:name w:val="批注框文本 Char"/>
    <w:basedOn w:val="10"/>
    <w:link w:val="5"/>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5F880E-D01B-418B-BB00-574B255D62A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3367</Words>
  <Characters>3591</Characters>
  <Lines>77</Lines>
  <Paragraphs>21</Paragraphs>
  <TotalTime>4</TotalTime>
  <ScaleCrop>false</ScaleCrop>
  <LinksUpToDate>false</LinksUpToDate>
  <CharactersWithSpaces>3660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2020-03-09T05:06:00Z</dcterms:created>
  <dc:creator>admin</dc:creator>
  <cp:lastModifiedBy>大庆</cp:lastModifiedBy>
  <cp:lastPrinted>2025-12-29T07:39:00Z</cp:lastPrinted>
  <dcterms:modified xsi:type="dcterms:W3CDTF">2026-01-19T13:13:51Z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1A5B1369AB5D4BC6898BFC90E18E042C_13</vt:lpwstr>
  </property>
  <property fmtid="{D5CDD505-2E9C-101B-9397-08002B2CF9AE}" pid="4" name="KSOTemplateDocerSaveRecord">
    <vt:lpwstr>eyJoZGlkIjoiNWE1MjNkM2VkZGI3NjI5MzU0MTY1ZDIyMGQ1OTY3ZDYiLCJ1c2VySWQiOiIxNDc2ODg3Nzg1In0=</vt:lpwstr>
  </property>
</Properties>
</file>